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CF25" w14:textId="77777777" w:rsidR="003A06B9" w:rsidRDefault="003A06B9" w:rsidP="003A06B9">
      <w:pPr>
        <w:pStyle w:val="INGBodyText"/>
        <w:spacing w:after="200"/>
        <w:rPr>
          <w:rFonts w:ascii="Calibri Light" w:hAnsi="Calibri Light" w:cs="Calibri Light"/>
          <w:color w:val="auto"/>
        </w:rPr>
      </w:pPr>
    </w:p>
    <w:p w14:paraId="518A747C" w14:textId="08036733" w:rsidR="003A06B9" w:rsidRDefault="003A06B9" w:rsidP="003A06B9">
      <w:pPr>
        <w:pStyle w:val="INGBodyText"/>
        <w:spacing w:after="200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>T</w:t>
      </w:r>
      <w:r>
        <w:rPr>
          <w:rFonts w:ascii="Calibri Light" w:hAnsi="Calibri Light" w:cs="Calibri Light"/>
          <w:color w:val="auto"/>
        </w:rPr>
        <w:t xml:space="preserve">uzemská ekonomika v druhém čtvrtletí letošního roku dle předběžného odhadu zveřejněného dnes ČSÚ </w:t>
      </w:r>
      <w:r>
        <w:rPr>
          <w:rFonts w:ascii="Calibri Light" w:hAnsi="Calibri Light" w:cs="Calibri Light"/>
          <w:b/>
          <w:bCs/>
          <w:color w:val="auto"/>
        </w:rPr>
        <w:t>vzrostla mezičtvrtletně o 0,1 %</w:t>
      </w:r>
      <w:r>
        <w:rPr>
          <w:rFonts w:ascii="Calibri Light" w:hAnsi="Calibri Light" w:cs="Calibri Light"/>
          <w:color w:val="auto"/>
        </w:rPr>
        <w:t xml:space="preserve"> (vs. 0,0 % v 1Q 23), </w:t>
      </w:r>
      <w:r>
        <w:rPr>
          <w:rFonts w:ascii="Calibri Light" w:hAnsi="Calibri Light" w:cs="Calibri Light"/>
          <w:b/>
          <w:bCs/>
          <w:color w:val="auto"/>
        </w:rPr>
        <w:t xml:space="preserve">meziročně poklesla o 0,6 % </w:t>
      </w:r>
      <w:r>
        <w:rPr>
          <w:rFonts w:ascii="Calibri Light" w:hAnsi="Calibri Light" w:cs="Calibri Light"/>
          <w:color w:val="auto"/>
        </w:rPr>
        <w:t>(-0,5 % v 1Q 23)</w:t>
      </w:r>
      <w:r>
        <w:rPr>
          <w:rFonts w:ascii="Calibri Light" w:hAnsi="Calibri Light" w:cs="Calibri Light"/>
          <w:b/>
          <w:bCs/>
          <w:color w:val="auto"/>
        </w:rPr>
        <w:t>.</w:t>
      </w:r>
      <w:r>
        <w:rPr>
          <w:rFonts w:ascii="Calibri Light" w:hAnsi="Calibri Light" w:cs="Calibri Light"/>
          <w:color w:val="auto"/>
        </w:rPr>
        <w:t xml:space="preserve"> Analytický konsensus dle Reuters čekal mírný mezičtvrtletní růst o 0,2 %, starší jarní prognóza ČNB pak růst o 0,4 % qoq, předběžná čísla tak zůstala mírně za očekáváním.</w:t>
      </w:r>
    </w:p>
    <w:p w14:paraId="47A3A11F" w14:textId="77777777" w:rsidR="003A06B9" w:rsidRDefault="003A06B9" w:rsidP="003A06B9">
      <w:pPr>
        <w:pStyle w:val="INGBodyText"/>
        <w:spacing w:after="200"/>
        <w:rPr>
          <w:rFonts w:ascii="Calibri Light" w:hAnsi="Calibri Light" w:cs="Calibri Light"/>
          <w:i/>
          <w:iCs/>
          <w:color w:val="auto"/>
        </w:rPr>
      </w:pPr>
      <w:r>
        <w:rPr>
          <w:rFonts w:ascii="Calibri Light" w:hAnsi="Calibri Light" w:cs="Calibri Light"/>
          <w:b/>
          <w:bCs/>
          <w:color w:val="auto"/>
        </w:rPr>
        <w:t>Dnes zveřejněný předběžný odhad prozatím nespecifikuje detaily vývoje HDP</w:t>
      </w:r>
      <w:r>
        <w:rPr>
          <w:rFonts w:ascii="Calibri Light" w:hAnsi="Calibri Light" w:cs="Calibri Light"/>
          <w:color w:val="auto"/>
        </w:rPr>
        <w:t xml:space="preserve">, statistický úřad pouze uvedl, že </w:t>
      </w:r>
      <w:r>
        <w:rPr>
          <w:rFonts w:ascii="Calibri Light" w:hAnsi="Calibri Light" w:cs="Calibri Light"/>
          <w:b/>
          <w:bCs/>
          <w:i/>
          <w:iCs/>
          <w:color w:val="auto"/>
        </w:rPr>
        <w:t xml:space="preserve">meziroční vývoj HDP byl negativně ovlivněn spotřebou domácností a nižšími investicemi, naopak domácí poptávka přispěla k mírnému mezičtvrtletnímu růstu s tím, že spotřeba domácností stagnovala. </w:t>
      </w:r>
      <w:r>
        <w:rPr>
          <w:rFonts w:ascii="Calibri Light" w:hAnsi="Calibri Light" w:cs="Calibri Light"/>
          <w:i/>
          <w:iCs/>
          <w:color w:val="auto"/>
        </w:rPr>
        <w:t xml:space="preserve">K meziročnímu růstu hrubé přidané hodnoty nejvíce přispěl zejména průmysl a informační činnost, k poklesu pak odvětví obchodu, dopravy, ubytování a pohostinství. </w:t>
      </w:r>
      <w:r>
        <w:rPr>
          <w:rFonts w:ascii="Calibri Light" w:hAnsi="Calibri Light" w:cs="Calibri Light"/>
          <w:b/>
          <w:bCs/>
          <w:i/>
          <w:iCs/>
          <w:color w:val="auto"/>
        </w:rPr>
        <w:t>V mezičtvrtletním pohledu došlo k poklesu ve většina odvětví</w:t>
      </w:r>
      <w:r>
        <w:rPr>
          <w:rFonts w:ascii="Calibri Light" w:hAnsi="Calibri Light" w:cs="Calibri Light"/>
          <w:i/>
          <w:iCs/>
          <w:color w:val="auto"/>
        </w:rPr>
        <w:t>.</w:t>
      </w:r>
    </w:p>
    <w:p w14:paraId="6B690790" w14:textId="77777777" w:rsidR="003A06B9" w:rsidRDefault="003A06B9" w:rsidP="003A06B9">
      <w:pPr>
        <w:pStyle w:val="INGBodyText"/>
        <w:spacing w:after="200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b/>
          <w:bCs/>
          <w:color w:val="auto"/>
        </w:rPr>
        <w:t>Tuzemská ekonomika se tak nachází několik čtvrtletní na hraně recese a stagnace a působí na ní několik různorodých faktorů</w:t>
      </w:r>
      <w:r>
        <w:rPr>
          <w:rFonts w:ascii="Calibri Light" w:hAnsi="Calibri Light" w:cs="Calibri Light"/>
          <w:color w:val="auto"/>
        </w:rPr>
        <w:t xml:space="preserve">. Na spotřebu domácností stále doléhá pokles reálných příjmů z titulu vysoké inflace, nicméně spotřeba se již stabilizovala a v mezičtvrtletním pohledu stagnuje. Vysoké úrokové sazby spojené s ekonomickou nejistotou pak vedou k menší investiční aktivitě firem. </w:t>
      </w:r>
      <w:r>
        <w:rPr>
          <w:rFonts w:ascii="Calibri Light" w:hAnsi="Calibri Light" w:cs="Calibri Light"/>
          <w:b/>
          <w:bCs/>
          <w:color w:val="auto"/>
        </w:rPr>
        <w:t>Průmysl je zasažen slabší zahraniční poptávkou a pozitivně jej v první polovině roku táhl zejména automobilový sektor</w:t>
      </w:r>
      <w:r>
        <w:rPr>
          <w:rFonts w:ascii="Calibri Light" w:hAnsi="Calibri Light" w:cs="Calibri Light"/>
          <w:color w:val="auto"/>
        </w:rPr>
        <w:t xml:space="preserve">, kde se dařilo dokončovat rozdělanou výrobu z titulu zmírnění potíží v dodavatelských vztazích, </w:t>
      </w:r>
      <w:r>
        <w:rPr>
          <w:rFonts w:ascii="Calibri Light" w:hAnsi="Calibri Light" w:cs="Calibri Light"/>
          <w:b/>
          <w:bCs/>
          <w:color w:val="auto"/>
        </w:rPr>
        <w:t>jeho další výkon však představuje v druhé polovině roku riziko, a to zejména v kontextu slábnoucí zahraniční poptávky a slábnoucích nových zakázek v průmyslu obecně.</w:t>
      </w:r>
    </w:p>
    <w:p w14:paraId="37540F55" w14:textId="6C08E69A" w:rsidR="003A06B9" w:rsidRDefault="003A06B9" w:rsidP="003A06B9">
      <w:pPr>
        <w:pStyle w:val="INGBodyText"/>
        <w:spacing w:after="200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 xml:space="preserve">To potvrzují i poslední čísla ze zahraniční, kdy německá ekonomika dle rychlého odhadu také v druhém čtvrtletí jen stagnovala a meziroční propad dosáhl 0,2 % (-0,6 % </w:t>
      </w:r>
      <w:proofErr w:type="spellStart"/>
      <w:r>
        <w:rPr>
          <w:rFonts w:ascii="Calibri Light" w:hAnsi="Calibri Light" w:cs="Calibri Light"/>
          <w:color w:val="auto"/>
        </w:rPr>
        <w:t>yoy</w:t>
      </w:r>
      <w:proofErr w:type="spellEnd"/>
      <w:r>
        <w:rPr>
          <w:rFonts w:ascii="Calibri Light" w:hAnsi="Calibri Light" w:cs="Calibri Light"/>
          <w:color w:val="auto"/>
        </w:rPr>
        <w:t>,</w:t>
      </w:r>
      <w:r>
        <w:rPr>
          <w:rFonts w:ascii="Calibri Light" w:hAnsi="Calibri Light" w:cs="Calibri Light"/>
          <w:color w:val="auto"/>
        </w:rPr>
        <w:t xml:space="preserve"> pokud neočistíme o kalendářní vlivy). Také předstihové indikátory z eurozóny se v posledních měsících dále zhoršují, což podtrhuje obecně slabší ekonomické vyhlídky.</w:t>
      </w:r>
    </w:p>
    <w:p w14:paraId="25D028B9" w14:textId="66E280C8" w:rsidR="00FD6831" w:rsidRPr="003A06B9" w:rsidRDefault="003A06B9" w:rsidP="003A06B9">
      <w:pPr>
        <w:pStyle w:val="INGBodyText"/>
        <w:spacing w:after="200"/>
        <w:rPr>
          <w:rFonts w:ascii="Calibri Light" w:hAnsi="Calibri Light" w:cs="Calibri Light"/>
          <w:b/>
          <w:bCs/>
          <w:color w:val="auto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752" behindDoc="0" locked="0" layoutInCell="1" allowOverlap="1" wp14:anchorId="133C38AE" wp14:editId="65C9F074">
            <wp:simplePos x="0" y="0"/>
            <wp:positionH relativeFrom="margin">
              <wp:posOffset>-4445</wp:posOffset>
            </wp:positionH>
            <wp:positionV relativeFrom="paragraph">
              <wp:posOffset>1410970</wp:posOffset>
            </wp:positionV>
            <wp:extent cx="3924300" cy="2884170"/>
            <wp:effectExtent l="0" t="0" r="0" b="0"/>
            <wp:wrapTopAndBottom/>
            <wp:docPr id="1375599425" name="Obrázek 2" descr="Obsah obrázku text, snímek obrazovky, Písmo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99425" name="Obrázek 2" descr="Obsah obrázku text, snímek obrazovky, Písmo, Vykreslený graf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88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color w:val="auto"/>
        </w:rPr>
        <w:t xml:space="preserve">Rizika pro budoucí vývoj tak nadále přetrvávají, což předznamenává výhled i do </w:t>
      </w:r>
      <w:r>
        <w:rPr>
          <w:rFonts w:ascii="Calibri Light" w:hAnsi="Calibri Light" w:cs="Calibri Light"/>
          <w:b/>
          <w:bCs/>
          <w:color w:val="auto"/>
        </w:rPr>
        <w:t>druhé poloviny letošního roku, kdy by sice tuzemská ekonomika měla začít z mezičtvrtletního pohledu mírně růst, za celý letošní rok to však bude znamenat vesměs stagnaci HDP, resp. jen velmi nepatrný růst. ČNB ve čtvrtek ani v září úrokové sazby nezmění, mírné snížení však může přijít již na listopadovém jednání, rozhodnutí bankovní rady o začátku snižování sazeb však bude i vzhledem ke zmíněným rizikům hodně závislé na nově příchozích číslech z ekonomiky, stále tak platí, že nelze vyloučit ani první snížení sazeb až začátkem příštího roku.</w:t>
      </w:r>
    </w:p>
    <w:sectPr w:rsidR="00FD6831" w:rsidRPr="003A06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757C" w14:textId="77777777" w:rsidR="001C6C5B" w:rsidRDefault="001C6C5B" w:rsidP="003A06B9">
      <w:pPr>
        <w:spacing w:after="0" w:line="240" w:lineRule="auto"/>
      </w:pPr>
      <w:r>
        <w:separator/>
      </w:r>
    </w:p>
  </w:endnote>
  <w:endnote w:type="continuationSeparator" w:id="0">
    <w:p w14:paraId="1A02FB19" w14:textId="77777777" w:rsidR="001C6C5B" w:rsidRDefault="001C6C5B" w:rsidP="003A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0372" w14:textId="77777777" w:rsidR="001C6C5B" w:rsidRDefault="001C6C5B" w:rsidP="003A06B9">
      <w:pPr>
        <w:spacing w:after="0" w:line="240" w:lineRule="auto"/>
      </w:pPr>
      <w:r>
        <w:separator/>
      </w:r>
    </w:p>
  </w:footnote>
  <w:footnote w:type="continuationSeparator" w:id="0">
    <w:p w14:paraId="190205D3" w14:textId="77777777" w:rsidR="001C6C5B" w:rsidRDefault="001C6C5B" w:rsidP="003A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8F52" w14:textId="001726F0" w:rsidR="003A06B9" w:rsidRDefault="003A06B9">
    <w:pPr>
      <w:pStyle w:val="Zhlav"/>
    </w:pPr>
    <w:r w:rsidRPr="00920185">
      <w:rPr>
        <w:b/>
        <w:noProof/>
        <w:color w:val="13576B"/>
        <w:sz w:val="30"/>
        <w:szCs w:val="30"/>
      </w:rPr>
      <w:drawing>
        <wp:inline distT="0" distB="0" distL="0" distR="0" wp14:anchorId="133D749F" wp14:editId="37AFAA6A">
          <wp:extent cx="1320267" cy="456432"/>
          <wp:effectExtent l="0" t="0" r="0" b="1270"/>
          <wp:docPr id="2145524899" name="Picture 214552489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1"/>
                  <a:srcRect l="2433"/>
                  <a:stretch/>
                </pic:blipFill>
                <pic:spPr bwMode="auto">
                  <a:xfrm>
                    <a:off x="0" y="0"/>
                    <a:ext cx="1334317" cy="4612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B9"/>
    <w:rsid w:val="001C6C5B"/>
    <w:rsid w:val="003A06B9"/>
    <w:rsid w:val="007B2DA6"/>
    <w:rsid w:val="007C0ADE"/>
    <w:rsid w:val="007E1FE0"/>
    <w:rsid w:val="00E155FD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4169"/>
  <w15:chartTrackingRefBased/>
  <w15:docId w15:val="{8F33298A-3B39-4F6F-9E80-6629465B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GBodyTextChar">
    <w:name w:val="ING Body Text Char"/>
    <w:basedOn w:val="Standardnpsmoodstavce"/>
    <w:link w:val="INGBodyText"/>
    <w:locked/>
    <w:rsid w:val="003A06B9"/>
    <w:rPr>
      <w:rFonts w:ascii="Arial" w:hAnsi="Arial" w:cs="Arial"/>
      <w:color w:val="000000"/>
    </w:rPr>
  </w:style>
  <w:style w:type="paragraph" w:customStyle="1" w:styleId="INGBodyText">
    <w:name w:val="ING Body Text"/>
    <w:basedOn w:val="Normln"/>
    <w:link w:val="INGBodyTextChar"/>
    <w:qFormat/>
    <w:rsid w:val="003A06B9"/>
    <w:pPr>
      <w:spacing w:after="140" w:line="270" w:lineRule="exact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3A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6B9"/>
  </w:style>
  <w:style w:type="paragraph" w:styleId="Zpat">
    <w:name w:val="footer"/>
    <w:basedOn w:val="Normln"/>
    <w:link w:val="ZpatChar"/>
    <w:uiPriority w:val="99"/>
    <w:unhideWhenUsed/>
    <w:rsid w:val="003A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Možná</dc:creator>
  <cp:keywords/>
  <dc:description/>
  <cp:lastModifiedBy>Radana Možná</cp:lastModifiedBy>
  <cp:revision>1</cp:revision>
  <dcterms:created xsi:type="dcterms:W3CDTF">2023-07-31T07:39:00Z</dcterms:created>
  <dcterms:modified xsi:type="dcterms:W3CDTF">2023-07-31T07:43:00Z</dcterms:modified>
</cp:coreProperties>
</file>