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245D2" w14:textId="6DC90918" w:rsidR="00266E32" w:rsidRPr="00906FDC" w:rsidRDefault="00266E32" w:rsidP="002B1A4A">
      <w:pPr>
        <w:spacing w:after="120"/>
        <w:rPr>
          <w:rFonts w:ascii="Calibri" w:hAnsi="Calibri" w:cs="Arial"/>
          <w:b/>
          <w:color w:val="13576B"/>
          <w:sz w:val="36"/>
          <w:szCs w:val="36"/>
        </w:rPr>
      </w:pPr>
      <w:r w:rsidRPr="00906FDC">
        <w:rPr>
          <w:rFonts w:ascii="Calibri" w:hAnsi="Calibri" w:cs="Arial"/>
          <w:b/>
          <w:color w:val="13576B"/>
          <w:sz w:val="36"/>
          <w:szCs w:val="36"/>
        </w:rPr>
        <w:t>MAKROEKONOMICKÁ PROGNÓZA ČBA</w:t>
      </w:r>
    </w:p>
    <w:p w14:paraId="240C088F" w14:textId="0EED7CE4" w:rsidR="00266E32" w:rsidRPr="00906FDC" w:rsidRDefault="00201AC5" w:rsidP="00266E32">
      <w:pPr>
        <w:jc w:val="left"/>
        <w:rPr>
          <w:rFonts w:ascii="Calibri" w:hAnsi="Calibri" w:cs="Arial"/>
          <w:b/>
          <w:color w:val="13576B"/>
          <w:sz w:val="32"/>
          <w:szCs w:val="32"/>
        </w:rPr>
      </w:pPr>
      <w:r>
        <w:rPr>
          <w:rFonts w:ascii="Calibri" w:hAnsi="Calibri" w:cs="Arial"/>
          <w:b/>
          <w:color w:val="13576B"/>
          <w:sz w:val="32"/>
          <w:szCs w:val="32"/>
        </w:rPr>
        <w:t>Srpen</w:t>
      </w:r>
      <w:r w:rsidR="00FF1673">
        <w:rPr>
          <w:rFonts w:ascii="Calibri" w:hAnsi="Calibri" w:cs="Arial"/>
          <w:b/>
          <w:color w:val="13576B"/>
          <w:sz w:val="32"/>
          <w:szCs w:val="32"/>
        </w:rPr>
        <w:t xml:space="preserve"> </w:t>
      </w:r>
      <w:r w:rsidR="000366C2" w:rsidRPr="00906FDC">
        <w:rPr>
          <w:rFonts w:ascii="Calibri" w:hAnsi="Calibri" w:cs="Arial"/>
          <w:b/>
          <w:color w:val="13576B"/>
          <w:sz w:val="32"/>
          <w:szCs w:val="32"/>
        </w:rPr>
        <w:t>20</w:t>
      </w:r>
      <w:r w:rsidR="00335332" w:rsidRPr="00906FDC">
        <w:rPr>
          <w:rFonts w:ascii="Calibri" w:hAnsi="Calibri" w:cs="Arial"/>
          <w:b/>
          <w:color w:val="13576B"/>
          <w:sz w:val="32"/>
          <w:szCs w:val="32"/>
        </w:rPr>
        <w:t>2</w:t>
      </w:r>
      <w:r w:rsidR="00FF1673">
        <w:rPr>
          <w:rFonts w:ascii="Calibri" w:hAnsi="Calibri" w:cs="Arial"/>
          <w:b/>
          <w:color w:val="13576B"/>
          <w:sz w:val="32"/>
          <w:szCs w:val="32"/>
        </w:rPr>
        <w:t>4</w:t>
      </w:r>
      <w:r w:rsidR="000366C2" w:rsidRPr="00906FDC">
        <w:rPr>
          <w:rFonts w:ascii="Calibri" w:hAnsi="Calibri" w:cs="Arial"/>
          <w:b/>
          <w:color w:val="13576B"/>
          <w:sz w:val="32"/>
          <w:szCs w:val="32"/>
        </w:rPr>
        <w:t xml:space="preserve">: </w:t>
      </w:r>
      <w:r>
        <w:rPr>
          <w:rFonts w:ascii="Calibri" w:hAnsi="Calibri" w:cs="Arial"/>
          <w:b/>
          <w:color w:val="13576B"/>
          <w:sz w:val="32"/>
          <w:szCs w:val="32"/>
        </w:rPr>
        <w:t xml:space="preserve">Růst tuzemské ekonomiky </w:t>
      </w:r>
      <w:r w:rsidR="00E552A3">
        <w:rPr>
          <w:rFonts w:ascii="Calibri" w:hAnsi="Calibri" w:cs="Arial"/>
          <w:b/>
          <w:color w:val="13576B"/>
          <w:sz w:val="32"/>
          <w:szCs w:val="32"/>
        </w:rPr>
        <w:t>bude letos slabší</w:t>
      </w:r>
      <w:r w:rsidR="00A46AFF">
        <w:rPr>
          <w:rFonts w:ascii="Calibri" w:hAnsi="Calibri" w:cs="Arial"/>
          <w:b/>
          <w:color w:val="13576B"/>
          <w:sz w:val="32"/>
          <w:szCs w:val="32"/>
        </w:rPr>
        <w:t xml:space="preserve">, </w:t>
      </w:r>
      <w:r w:rsidR="00060800">
        <w:rPr>
          <w:rFonts w:ascii="Calibri" w:hAnsi="Calibri" w:cs="Arial"/>
          <w:b/>
          <w:color w:val="13576B"/>
          <w:sz w:val="32"/>
          <w:szCs w:val="32"/>
        </w:rPr>
        <w:t>nenaplnila se optimistická očekávání z předešlé prognózy</w:t>
      </w:r>
    </w:p>
    <w:p w14:paraId="47BA50B7" w14:textId="631CAF3F" w:rsidR="008B1328" w:rsidRPr="00906FDC" w:rsidRDefault="00266E32" w:rsidP="00983579">
      <w:pPr>
        <w:pStyle w:val="Normlnweb"/>
        <w:jc w:val="both"/>
        <w:rPr>
          <w:rFonts w:ascii="Calibri" w:hAnsi="Calibri" w:cs="Calibri"/>
          <w:color w:val="13576B"/>
          <w:sz w:val="20"/>
        </w:rPr>
      </w:pPr>
      <w:r w:rsidRPr="00906FDC">
        <w:rPr>
          <w:rFonts w:ascii="Calibri" w:hAnsi="Calibri" w:cs="Calibri"/>
          <w:b/>
          <w:color w:val="13576B"/>
          <w:sz w:val="20"/>
        </w:rPr>
        <w:t xml:space="preserve">Praha, </w:t>
      </w:r>
      <w:r w:rsidR="00201AC5">
        <w:rPr>
          <w:rFonts w:ascii="Calibri" w:hAnsi="Calibri" w:cs="Calibri"/>
          <w:b/>
          <w:color w:val="13576B"/>
          <w:sz w:val="20"/>
        </w:rPr>
        <w:t>8</w:t>
      </w:r>
      <w:r w:rsidRPr="00906FDC">
        <w:rPr>
          <w:rFonts w:ascii="Calibri" w:hAnsi="Calibri" w:cs="Calibri"/>
          <w:b/>
          <w:color w:val="13576B"/>
          <w:sz w:val="20"/>
        </w:rPr>
        <w:t xml:space="preserve">. </w:t>
      </w:r>
      <w:r w:rsidR="00201AC5">
        <w:rPr>
          <w:rFonts w:ascii="Calibri" w:hAnsi="Calibri" w:cs="Calibri"/>
          <w:b/>
          <w:color w:val="13576B"/>
          <w:sz w:val="20"/>
        </w:rPr>
        <w:t xml:space="preserve">srpna </w:t>
      </w:r>
      <w:r w:rsidRPr="00906FDC">
        <w:rPr>
          <w:rFonts w:ascii="Calibri" w:hAnsi="Calibri" w:cs="Calibri"/>
          <w:b/>
          <w:color w:val="13576B"/>
          <w:sz w:val="20"/>
        </w:rPr>
        <w:t>202</w:t>
      </w:r>
      <w:r w:rsidR="00FF1673">
        <w:rPr>
          <w:rFonts w:ascii="Calibri" w:hAnsi="Calibri" w:cs="Calibri"/>
          <w:b/>
          <w:color w:val="13576B"/>
          <w:sz w:val="20"/>
        </w:rPr>
        <w:t>4</w:t>
      </w:r>
      <w:r w:rsidRPr="00906FDC">
        <w:rPr>
          <w:rFonts w:ascii="Calibri" w:hAnsi="Calibri" w:cs="Calibri"/>
          <w:b/>
          <w:color w:val="13576B"/>
          <w:sz w:val="20"/>
        </w:rPr>
        <w:t xml:space="preserve"> – Hlavní ekonomové bank zastoupení v </w:t>
      </w:r>
      <w:r w:rsidR="005E1864" w:rsidRPr="00906FDC">
        <w:rPr>
          <w:rFonts w:ascii="Calibri" w:hAnsi="Calibri" w:cs="Calibri"/>
          <w:b/>
          <w:color w:val="13576B"/>
          <w:sz w:val="20"/>
        </w:rPr>
        <w:t>p</w:t>
      </w:r>
      <w:r w:rsidRPr="00906FDC">
        <w:rPr>
          <w:rFonts w:ascii="Calibri" w:hAnsi="Calibri" w:cs="Calibri"/>
          <w:b/>
          <w:color w:val="13576B"/>
          <w:sz w:val="20"/>
        </w:rPr>
        <w:t xml:space="preserve">rognostickém panelu České bankovní asociace (ČBA) </w:t>
      </w:r>
      <w:r w:rsidR="006A1E09" w:rsidRPr="00906FDC">
        <w:rPr>
          <w:rFonts w:ascii="Calibri" w:hAnsi="Calibri" w:cs="Calibri"/>
          <w:b/>
          <w:color w:val="13576B"/>
          <w:sz w:val="20"/>
        </w:rPr>
        <w:t xml:space="preserve">očekávají, že tuzemská ekonomika v letošním roce </w:t>
      </w:r>
      <w:r w:rsidR="00821693">
        <w:rPr>
          <w:rFonts w:ascii="Calibri" w:hAnsi="Calibri" w:cs="Calibri"/>
          <w:b/>
          <w:color w:val="13576B"/>
          <w:sz w:val="20"/>
        </w:rPr>
        <w:t xml:space="preserve">bude </w:t>
      </w:r>
      <w:r w:rsidR="00D260F0">
        <w:rPr>
          <w:rFonts w:ascii="Calibri" w:hAnsi="Calibri" w:cs="Calibri"/>
          <w:b/>
          <w:color w:val="13576B"/>
          <w:sz w:val="20"/>
        </w:rPr>
        <w:t xml:space="preserve">meziročně </w:t>
      </w:r>
      <w:r w:rsidR="00821693">
        <w:rPr>
          <w:rFonts w:ascii="Calibri" w:hAnsi="Calibri" w:cs="Calibri"/>
          <w:b/>
          <w:color w:val="13576B"/>
          <w:sz w:val="20"/>
        </w:rPr>
        <w:t xml:space="preserve">růst o </w:t>
      </w:r>
      <w:r w:rsidR="00C416EF">
        <w:rPr>
          <w:rFonts w:ascii="Calibri" w:hAnsi="Calibri" w:cs="Calibri"/>
          <w:b/>
          <w:color w:val="13576B"/>
          <w:sz w:val="20"/>
        </w:rPr>
        <w:t xml:space="preserve">0,9 </w:t>
      </w:r>
      <w:r w:rsidR="00821693">
        <w:rPr>
          <w:rFonts w:ascii="Calibri" w:hAnsi="Calibri" w:cs="Calibri"/>
          <w:b/>
          <w:color w:val="13576B"/>
          <w:sz w:val="20"/>
        </w:rPr>
        <w:t>%</w:t>
      </w:r>
      <w:r w:rsidR="00060800">
        <w:rPr>
          <w:rFonts w:ascii="Calibri" w:hAnsi="Calibri" w:cs="Calibri"/>
          <w:b/>
          <w:color w:val="13576B"/>
          <w:sz w:val="20"/>
        </w:rPr>
        <w:t>,</w:t>
      </w:r>
      <w:r w:rsidR="00821693">
        <w:rPr>
          <w:rFonts w:ascii="Calibri" w:hAnsi="Calibri" w:cs="Calibri"/>
          <w:b/>
          <w:color w:val="13576B"/>
          <w:sz w:val="20"/>
        </w:rPr>
        <w:t xml:space="preserve"> a odhad tak oproti </w:t>
      </w:r>
      <w:r w:rsidR="00201AC5">
        <w:rPr>
          <w:rFonts w:ascii="Calibri" w:hAnsi="Calibri" w:cs="Calibri"/>
          <w:b/>
          <w:color w:val="13576B"/>
          <w:sz w:val="20"/>
        </w:rPr>
        <w:t xml:space="preserve">květnové </w:t>
      </w:r>
      <w:r w:rsidR="00E05BD0">
        <w:rPr>
          <w:rFonts w:ascii="Calibri" w:hAnsi="Calibri" w:cs="Calibri"/>
          <w:b/>
          <w:color w:val="13576B"/>
          <w:sz w:val="20"/>
        </w:rPr>
        <w:t xml:space="preserve">prognóze </w:t>
      </w:r>
      <w:r w:rsidR="00201AC5">
        <w:rPr>
          <w:rFonts w:ascii="Calibri" w:hAnsi="Calibri" w:cs="Calibri"/>
          <w:b/>
          <w:color w:val="13576B"/>
          <w:sz w:val="20"/>
        </w:rPr>
        <w:t>snížil</w:t>
      </w:r>
      <w:r w:rsidR="00C416EF">
        <w:rPr>
          <w:rFonts w:ascii="Calibri" w:hAnsi="Calibri" w:cs="Calibri"/>
          <w:b/>
          <w:color w:val="13576B"/>
          <w:sz w:val="20"/>
        </w:rPr>
        <w:t>i</w:t>
      </w:r>
      <w:r w:rsidR="00060800">
        <w:rPr>
          <w:rFonts w:ascii="Calibri" w:hAnsi="Calibri" w:cs="Calibri"/>
          <w:b/>
          <w:color w:val="13576B"/>
          <w:sz w:val="20"/>
        </w:rPr>
        <w:t xml:space="preserve"> o půl procentního bodu</w:t>
      </w:r>
      <w:r w:rsidR="00E05BD0">
        <w:rPr>
          <w:rFonts w:ascii="Calibri" w:hAnsi="Calibri" w:cs="Calibri"/>
          <w:b/>
          <w:color w:val="13576B"/>
          <w:sz w:val="20"/>
        </w:rPr>
        <w:t>.</w:t>
      </w:r>
      <w:r w:rsidR="00821693">
        <w:rPr>
          <w:rFonts w:ascii="Calibri" w:hAnsi="Calibri" w:cs="Calibri"/>
          <w:b/>
          <w:color w:val="13576B"/>
          <w:sz w:val="20"/>
        </w:rPr>
        <w:t xml:space="preserve"> </w:t>
      </w:r>
      <w:r w:rsidR="006A1E09" w:rsidRPr="00906FDC">
        <w:rPr>
          <w:rFonts w:ascii="Calibri" w:hAnsi="Calibri" w:cs="Calibri"/>
          <w:b/>
          <w:color w:val="13576B"/>
          <w:sz w:val="20"/>
        </w:rPr>
        <w:t xml:space="preserve">Pro příští rok </w:t>
      </w:r>
      <w:r w:rsidR="00162CD4">
        <w:rPr>
          <w:rFonts w:ascii="Calibri" w:hAnsi="Calibri" w:cs="Calibri"/>
          <w:b/>
          <w:color w:val="13576B"/>
          <w:sz w:val="20"/>
        </w:rPr>
        <w:t>prognóza očekává zrychlení HDP o 2,7 %, obdobně jako v</w:t>
      </w:r>
      <w:r w:rsidR="00C416EF">
        <w:rPr>
          <w:rFonts w:ascii="Calibri" w:hAnsi="Calibri" w:cs="Calibri"/>
          <w:b/>
          <w:color w:val="13576B"/>
          <w:sz w:val="20"/>
        </w:rPr>
        <w:t> květnu.</w:t>
      </w:r>
      <w:r w:rsidR="00162CD4">
        <w:rPr>
          <w:rFonts w:ascii="Calibri" w:hAnsi="Calibri" w:cs="Calibri"/>
          <w:b/>
          <w:color w:val="13576B"/>
          <w:sz w:val="20"/>
        </w:rPr>
        <w:t xml:space="preserve"> </w:t>
      </w:r>
      <w:r w:rsidR="00846667">
        <w:rPr>
          <w:rFonts w:ascii="Calibri" w:hAnsi="Calibri" w:cs="Calibri"/>
          <w:b/>
          <w:color w:val="13576B"/>
          <w:sz w:val="20"/>
        </w:rPr>
        <w:t xml:space="preserve">Mírně </w:t>
      </w:r>
      <w:r w:rsidR="00C416EF">
        <w:rPr>
          <w:rFonts w:ascii="Calibri" w:hAnsi="Calibri" w:cs="Calibri"/>
          <w:b/>
          <w:color w:val="13576B"/>
          <w:sz w:val="20"/>
        </w:rPr>
        <w:t xml:space="preserve">slabší </w:t>
      </w:r>
      <w:r w:rsidR="00846667">
        <w:rPr>
          <w:rFonts w:ascii="Calibri" w:hAnsi="Calibri" w:cs="Calibri"/>
          <w:b/>
          <w:color w:val="13576B"/>
          <w:sz w:val="20"/>
        </w:rPr>
        <w:t>odhad růstu pro letošní rok je spojen s</w:t>
      </w:r>
      <w:r w:rsidR="00C416EF">
        <w:rPr>
          <w:rFonts w:ascii="Calibri" w:hAnsi="Calibri" w:cs="Calibri"/>
          <w:b/>
          <w:color w:val="13576B"/>
          <w:sz w:val="20"/>
        </w:rPr>
        <w:t> </w:t>
      </w:r>
      <w:r w:rsidR="00D260F0">
        <w:rPr>
          <w:rFonts w:ascii="Calibri" w:hAnsi="Calibri" w:cs="Calibri"/>
          <w:b/>
          <w:color w:val="13576B"/>
          <w:sz w:val="20"/>
        </w:rPr>
        <w:t>nepříznivým</w:t>
      </w:r>
      <w:r w:rsidR="00C416EF">
        <w:rPr>
          <w:rFonts w:ascii="Calibri" w:hAnsi="Calibri" w:cs="Calibri"/>
          <w:b/>
          <w:color w:val="13576B"/>
          <w:sz w:val="20"/>
        </w:rPr>
        <w:t xml:space="preserve"> </w:t>
      </w:r>
      <w:r w:rsidR="00846667">
        <w:rPr>
          <w:rFonts w:ascii="Calibri" w:hAnsi="Calibri" w:cs="Calibri"/>
          <w:b/>
          <w:color w:val="13576B"/>
          <w:sz w:val="20"/>
        </w:rPr>
        <w:t>výhledem na vývoj zahranič</w:t>
      </w:r>
      <w:r w:rsidR="00C416EF">
        <w:rPr>
          <w:rFonts w:ascii="Calibri" w:hAnsi="Calibri" w:cs="Calibri"/>
          <w:b/>
          <w:color w:val="13576B"/>
          <w:sz w:val="20"/>
        </w:rPr>
        <w:t>n</w:t>
      </w:r>
      <w:r w:rsidR="00846667">
        <w:rPr>
          <w:rFonts w:ascii="Calibri" w:hAnsi="Calibri" w:cs="Calibri"/>
          <w:b/>
          <w:color w:val="13576B"/>
          <w:sz w:val="20"/>
        </w:rPr>
        <w:t>í</w:t>
      </w:r>
      <w:r w:rsidR="00C416EF">
        <w:rPr>
          <w:rFonts w:ascii="Calibri" w:hAnsi="Calibri" w:cs="Calibri"/>
          <w:b/>
          <w:color w:val="13576B"/>
          <w:sz w:val="20"/>
        </w:rPr>
        <w:t xml:space="preserve"> poptávky</w:t>
      </w:r>
      <w:r w:rsidR="00846667">
        <w:rPr>
          <w:rFonts w:ascii="Calibri" w:hAnsi="Calibri" w:cs="Calibri"/>
          <w:b/>
          <w:color w:val="13576B"/>
          <w:sz w:val="20"/>
        </w:rPr>
        <w:t xml:space="preserve">. </w:t>
      </w:r>
      <w:r w:rsidR="006B2CA3">
        <w:rPr>
          <w:rFonts w:ascii="Calibri" w:hAnsi="Calibri" w:cs="Calibri"/>
          <w:b/>
          <w:color w:val="13576B"/>
          <w:sz w:val="20"/>
        </w:rPr>
        <w:t>Průměrná i</w:t>
      </w:r>
      <w:r w:rsidR="00032B41" w:rsidRPr="00906FDC">
        <w:rPr>
          <w:rFonts w:ascii="Calibri" w:hAnsi="Calibri" w:cs="Calibri"/>
          <w:b/>
          <w:color w:val="13576B"/>
          <w:sz w:val="20"/>
        </w:rPr>
        <w:t>nflac</w:t>
      </w:r>
      <w:r w:rsidR="00C8570C" w:rsidRPr="00906FDC">
        <w:rPr>
          <w:rFonts w:ascii="Calibri" w:hAnsi="Calibri" w:cs="Calibri"/>
          <w:b/>
          <w:color w:val="13576B"/>
          <w:sz w:val="20"/>
        </w:rPr>
        <w:t xml:space="preserve">e letos </w:t>
      </w:r>
      <w:r w:rsidR="00821693">
        <w:rPr>
          <w:rFonts w:ascii="Calibri" w:hAnsi="Calibri" w:cs="Calibri"/>
          <w:b/>
          <w:color w:val="13576B"/>
          <w:sz w:val="20"/>
        </w:rPr>
        <w:t>poklesne na 2,</w:t>
      </w:r>
      <w:r w:rsidR="00846667">
        <w:rPr>
          <w:rFonts w:ascii="Calibri" w:hAnsi="Calibri" w:cs="Calibri"/>
          <w:b/>
          <w:color w:val="13576B"/>
          <w:sz w:val="20"/>
        </w:rPr>
        <w:t>3</w:t>
      </w:r>
      <w:r w:rsidR="00821693">
        <w:rPr>
          <w:rFonts w:ascii="Calibri" w:hAnsi="Calibri" w:cs="Calibri"/>
          <w:b/>
          <w:color w:val="13576B"/>
          <w:sz w:val="20"/>
        </w:rPr>
        <w:t xml:space="preserve"> </w:t>
      </w:r>
      <w:r w:rsidR="006A1E09" w:rsidRPr="00906FDC">
        <w:rPr>
          <w:rFonts w:ascii="Calibri" w:hAnsi="Calibri" w:cs="Calibri"/>
          <w:b/>
          <w:color w:val="13576B"/>
          <w:sz w:val="20"/>
        </w:rPr>
        <w:t>%</w:t>
      </w:r>
      <w:r w:rsidR="00846667">
        <w:rPr>
          <w:rFonts w:ascii="Calibri" w:hAnsi="Calibri" w:cs="Calibri"/>
          <w:b/>
          <w:color w:val="13576B"/>
          <w:sz w:val="20"/>
        </w:rPr>
        <w:t xml:space="preserve"> a na obdobné úrovni by </w:t>
      </w:r>
      <w:r w:rsidR="00C53807">
        <w:rPr>
          <w:rFonts w:ascii="Calibri" w:hAnsi="Calibri" w:cs="Calibri"/>
          <w:b/>
          <w:color w:val="13576B"/>
          <w:sz w:val="20"/>
        </w:rPr>
        <w:t xml:space="preserve">se </w:t>
      </w:r>
      <w:r w:rsidR="00846667">
        <w:rPr>
          <w:rFonts w:ascii="Calibri" w:hAnsi="Calibri" w:cs="Calibri"/>
          <w:b/>
          <w:color w:val="13576B"/>
          <w:sz w:val="20"/>
        </w:rPr>
        <w:t>měl</w:t>
      </w:r>
      <w:r w:rsidR="00C53807">
        <w:rPr>
          <w:rFonts w:ascii="Calibri" w:hAnsi="Calibri" w:cs="Calibri"/>
          <w:b/>
          <w:color w:val="13576B"/>
          <w:sz w:val="20"/>
        </w:rPr>
        <w:t xml:space="preserve">a pohybovat </w:t>
      </w:r>
      <w:r w:rsidR="00846667">
        <w:rPr>
          <w:rFonts w:ascii="Calibri" w:hAnsi="Calibri" w:cs="Calibri"/>
          <w:b/>
          <w:color w:val="13576B"/>
          <w:sz w:val="20"/>
        </w:rPr>
        <w:t xml:space="preserve">i v příštím roce. </w:t>
      </w:r>
      <w:r w:rsidR="00821693">
        <w:rPr>
          <w:rFonts w:ascii="Calibri" w:hAnsi="Calibri" w:cs="Calibri"/>
          <w:b/>
          <w:color w:val="13576B"/>
          <w:sz w:val="20"/>
        </w:rPr>
        <w:t>N</w:t>
      </w:r>
      <w:r w:rsidR="007B5FE5" w:rsidRPr="00906FDC">
        <w:rPr>
          <w:rFonts w:ascii="Calibri" w:hAnsi="Calibri" w:cs="Calibri"/>
          <w:b/>
          <w:color w:val="13576B"/>
          <w:sz w:val="20"/>
        </w:rPr>
        <w:t xml:space="preserve">ominální </w:t>
      </w:r>
      <w:r w:rsidR="006A1E09" w:rsidRPr="00906FDC">
        <w:rPr>
          <w:rFonts w:ascii="Calibri" w:hAnsi="Calibri" w:cs="Calibri"/>
          <w:b/>
          <w:color w:val="13576B"/>
          <w:sz w:val="20"/>
        </w:rPr>
        <w:t xml:space="preserve">mzdy v letošním roce porostou </w:t>
      </w:r>
      <w:r w:rsidR="00C416EF">
        <w:rPr>
          <w:rFonts w:ascii="Calibri" w:hAnsi="Calibri" w:cs="Calibri"/>
          <w:b/>
          <w:color w:val="13576B"/>
          <w:sz w:val="20"/>
        </w:rPr>
        <w:t>o necelých</w:t>
      </w:r>
      <w:r w:rsidR="006A1E09" w:rsidRPr="00906FDC">
        <w:rPr>
          <w:rFonts w:ascii="Calibri" w:hAnsi="Calibri" w:cs="Calibri"/>
          <w:b/>
          <w:color w:val="13576B"/>
          <w:sz w:val="20"/>
        </w:rPr>
        <w:t xml:space="preserve"> </w:t>
      </w:r>
      <w:r w:rsidR="00C416EF">
        <w:rPr>
          <w:rFonts w:ascii="Calibri" w:hAnsi="Calibri" w:cs="Calibri"/>
          <w:b/>
          <w:color w:val="13576B"/>
          <w:sz w:val="20"/>
        </w:rPr>
        <w:t>7</w:t>
      </w:r>
      <w:r w:rsidR="00821693">
        <w:rPr>
          <w:rFonts w:ascii="Calibri" w:hAnsi="Calibri" w:cs="Calibri"/>
          <w:b/>
          <w:color w:val="13576B"/>
          <w:sz w:val="20"/>
        </w:rPr>
        <w:t xml:space="preserve"> </w:t>
      </w:r>
      <w:r w:rsidR="006A1E09" w:rsidRPr="00906FDC">
        <w:rPr>
          <w:rFonts w:ascii="Calibri" w:hAnsi="Calibri" w:cs="Calibri"/>
          <w:b/>
          <w:color w:val="13576B"/>
          <w:sz w:val="20"/>
        </w:rPr>
        <w:t xml:space="preserve">%, v reálném vyjádření </w:t>
      </w:r>
      <w:r w:rsidR="00821693">
        <w:rPr>
          <w:rFonts w:ascii="Calibri" w:hAnsi="Calibri" w:cs="Calibri"/>
          <w:b/>
          <w:color w:val="13576B"/>
          <w:sz w:val="20"/>
        </w:rPr>
        <w:t xml:space="preserve">pak o </w:t>
      </w:r>
      <w:r w:rsidR="00C416EF">
        <w:rPr>
          <w:rFonts w:ascii="Calibri" w:hAnsi="Calibri" w:cs="Calibri"/>
          <w:b/>
          <w:color w:val="13576B"/>
          <w:sz w:val="20"/>
        </w:rPr>
        <w:t>více než</w:t>
      </w:r>
      <w:r w:rsidR="00821693">
        <w:rPr>
          <w:rFonts w:ascii="Calibri" w:hAnsi="Calibri" w:cs="Calibri"/>
          <w:b/>
          <w:color w:val="13576B"/>
          <w:sz w:val="20"/>
        </w:rPr>
        <w:t xml:space="preserve"> 4 %, což </w:t>
      </w:r>
      <w:r w:rsidR="00BB5FA5">
        <w:rPr>
          <w:rFonts w:ascii="Calibri" w:hAnsi="Calibri" w:cs="Calibri"/>
          <w:b/>
          <w:color w:val="13576B"/>
          <w:sz w:val="20"/>
        </w:rPr>
        <w:t>představuje</w:t>
      </w:r>
      <w:r w:rsidR="00821693">
        <w:rPr>
          <w:rFonts w:ascii="Calibri" w:hAnsi="Calibri" w:cs="Calibri"/>
          <w:b/>
          <w:color w:val="13576B"/>
          <w:sz w:val="20"/>
        </w:rPr>
        <w:t xml:space="preserve"> první </w:t>
      </w:r>
      <w:r w:rsidR="00060800">
        <w:rPr>
          <w:rFonts w:ascii="Calibri" w:hAnsi="Calibri" w:cs="Calibri"/>
          <w:b/>
          <w:color w:val="13576B"/>
          <w:sz w:val="20"/>
        </w:rPr>
        <w:t xml:space="preserve">celoroční </w:t>
      </w:r>
      <w:r w:rsidR="00821693">
        <w:rPr>
          <w:rFonts w:ascii="Calibri" w:hAnsi="Calibri" w:cs="Calibri"/>
          <w:b/>
          <w:color w:val="13576B"/>
          <w:sz w:val="20"/>
        </w:rPr>
        <w:t xml:space="preserve">růst reálných mezd </w:t>
      </w:r>
      <w:r w:rsidR="00591B8C">
        <w:rPr>
          <w:rFonts w:ascii="Calibri" w:hAnsi="Calibri" w:cs="Calibri"/>
          <w:b/>
          <w:color w:val="13576B"/>
          <w:sz w:val="20"/>
        </w:rPr>
        <w:t>po dvou</w:t>
      </w:r>
      <w:r w:rsidR="006B2CA3">
        <w:rPr>
          <w:rFonts w:ascii="Calibri" w:hAnsi="Calibri" w:cs="Calibri"/>
          <w:b/>
          <w:color w:val="13576B"/>
          <w:sz w:val="20"/>
        </w:rPr>
        <w:t>leté přestávce</w:t>
      </w:r>
      <w:r w:rsidR="00591B8C">
        <w:rPr>
          <w:rFonts w:ascii="Calibri" w:hAnsi="Calibri" w:cs="Calibri"/>
          <w:b/>
          <w:color w:val="13576B"/>
          <w:sz w:val="20"/>
        </w:rPr>
        <w:t xml:space="preserve">. </w:t>
      </w:r>
      <w:r w:rsidR="00D260F0">
        <w:rPr>
          <w:rFonts w:ascii="Calibri" w:hAnsi="Calibri" w:cs="Calibri"/>
          <w:b/>
          <w:color w:val="13576B"/>
          <w:sz w:val="20"/>
        </w:rPr>
        <w:t>Určité známky ochlazování na trhu práce viditelné již jsou, ačkoli</w:t>
      </w:r>
      <w:r w:rsidR="00D260F0" w:rsidRPr="00906FDC">
        <w:rPr>
          <w:rFonts w:ascii="Calibri" w:hAnsi="Calibri" w:cs="Calibri"/>
          <w:b/>
          <w:color w:val="13576B"/>
          <w:sz w:val="20"/>
        </w:rPr>
        <w:t xml:space="preserve"> </w:t>
      </w:r>
      <w:r w:rsidR="00F57DE2">
        <w:rPr>
          <w:rFonts w:ascii="Calibri" w:hAnsi="Calibri" w:cs="Calibri"/>
          <w:b/>
          <w:color w:val="13576B"/>
          <w:sz w:val="20"/>
        </w:rPr>
        <w:t>slabý ekonomický vývoj</w:t>
      </w:r>
      <w:r w:rsidR="00D260F0">
        <w:rPr>
          <w:rFonts w:ascii="Calibri" w:hAnsi="Calibri" w:cs="Calibri"/>
          <w:b/>
          <w:color w:val="13576B"/>
          <w:sz w:val="20"/>
        </w:rPr>
        <w:t xml:space="preserve"> na něj</w:t>
      </w:r>
      <w:r w:rsidR="00D260F0" w:rsidRPr="00906FDC">
        <w:rPr>
          <w:rFonts w:ascii="Calibri" w:hAnsi="Calibri" w:cs="Calibri"/>
          <w:b/>
          <w:color w:val="13576B"/>
          <w:sz w:val="20"/>
        </w:rPr>
        <w:t xml:space="preserve"> dopad</w:t>
      </w:r>
      <w:r w:rsidR="00D260F0">
        <w:rPr>
          <w:rFonts w:ascii="Calibri" w:hAnsi="Calibri" w:cs="Calibri"/>
          <w:b/>
          <w:color w:val="13576B"/>
          <w:sz w:val="20"/>
        </w:rPr>
        <w:t>l</w:t>
      </w:r>
      <w:r w:rsidR="00D260F0" w:rsidRPr="00906FDC">
        <w:rPr>
          <w:rFonts w:ascii="Calibri" w:hAnsi="Calibri" w:cs="Calibri"/>
          <w:b/>
          <w:color w:val="13576B"/>
          <w:sz w:val="20"/>
        </w:rPr>
        <w:t xml:space="preserve"> </w:t>
      </w:r>
      <w:r w:rsidR="00685043">
        <w:rPr>
          <w:rFonts w:ascii="Calibri" w:hAnsi="Calibri" w:cs="Calibri"/>
          <w:b/>
          <w:color w:val="13576B"/>
          <w:sz w:val="20"/>
        </w:rPr>
        <w:t xml:space="preserve">stále </w:t>
      </w:r>
      <w:r w:rsidR="00F57DE2">
        <w:rPr>
          <w:rFonts w:ascii="Calibri" w:hAnsi="Calibri" w:cs="Calibri"/>
          <w:b/>
          <w:color w:val="13576B"/>
          <w:sz w:val="20"/>
        </w:rPr>
        <w:t xml:space="preserve">poměrně </w:t>
      </w:r>
      <w:r w:rsidR="00D260F0" w:rsidRPr="00906FDC">
        <w:rPr>
          <w:rFonts w:ascii="Calibri" w:hAnsi="Calibri" w:cs="Calibri"/>
          <w:b/>
          <w:color w:val="13576B"/>
          <w:sz w:val="20"/>
        </w:rPr>
        <w:t>omezeně</w:t>
      </w:r>
      <w:r w:rsidR="00D260F0">
        <w:rPr>
          <w:rFonts w:ascii="Calibri" w:hAnsi="Calibri" w:cs="Calibri"/>
          <w:b/>
          <w:color w:val="13576B"/>
          <w:sz w:val="20"/>
        </w:rPr>
        <w:t>.</w:t>
      </w:r>
      <w:r w:rsidR="00D260F0" w:rsidRPr="00906FDC">
        <w:rPr>
          <w:rFonts w:ascii="Calibri" w:hAnsi="Calibri" w:cs="Calibri"/>
          <w:b/>
          <w:color w:val="13576B"/>
          <w:sz w:val="20"/>
        </w:rPr>
        <w:t xml:space="preserve"> </w:t>
      </w:r>
      <w:r w:rsidR="00D260F0">
        <w:rPr>
          <w:rFonts w:ascii="Calibri" w:hAnsi="Calibri" w:cs="Calibri"/>
          <w:b/>
          <w:color w:val="13576B"/>
          <w:sz w:val="20"/>
        </w:rPr>
        <w:t xml:space="preserve">Navzdory mírnému nárůstu setrvává </w:t>
      </w:r>
      <w:r w:rsidR="00D260F0" w:rsidRPr="00906FDC">
        <w:rPr>
          <w:rFonts w:ascii="Calibri" w:hAnsi="Calibri" w:cs="Calibri"/>
          <w:b/>
          <w:color w:val="13576B"/>
          <w:sz w:val="20"/>
        </w:rPr>
        <w:t>míra nezaměstnanosti na nízkých úrovních</w:t>
      </w:r>
      <w:r w:rsidR="00D260F0">
        <w:rPr>
          <w:rFonts w:ascii="Calibri" w:hAnsi="Calibri" w:cs="Calibri"/>
          <w:b/>
          <w:color w:val="13576B"/>
          <w:sz w:val="20"/>
        </w:rPr>
        <w:t>.</w:t>
      </w:r>
      <w:r w:rsidR="004333DE" w:rsidRPr="00906FDC">
        <w:rPr>
          <w:rFonts w:ascii="Calibri" w:hAnsi="Calibri" w:cs="Calibri"/>
          <w:b/>
          <w:color w:val="13576B"/>
          <w:sz w:val="20"/>
        </w:rPr>
        <w:t xml:space="preserve"> </w:t>
      </w:r>
      <w:r w:rsidR="008D487B" w:rsidRPr="00906FDC">
        <w:rPr>
          <w:rFonts w:ascii="Calibri" w:hAnsi="Calibri" w:cs="Calibri"/>
          <w:b/>
          <w:color w:val="13576B"/>
          <w:sz w:val="20"/>
        </w:rPr>
        <w:t>Úrokov</w:t>
      </w:r>
      <w:r w:rsidR="00104E9B" w:rsidRPr="00906FDC">
        <w:rPr>
          <w:rFonts w:ascii="Calibri" w:hAnsi="Calibri" w:cs="Calibri"/>
          <w:b/>
          <w:color w:val="13576B"/>
          <w:sz w:val="20"/>
        </w:rPr>
        <w:t>é</w:t>
      </w:r>
      <w:r w:rsidR="008D487B" w:rsidRPr="00906FDC">
        <w:rPr>
          <w:rFonts w:ascii="Calibri" w:hAnsi="Calibri" w:cs="Calibri"/>
          <w:b/>
          <w:color w:val="13576B"/>
          <w:sz w:val="20"/>
        </w:rPr>
        <w:t xml:space="preserve"> sazby ČNB </w:t>
      </w:r>
      <w:r w:rsidR="00821693">
        <w:rPr>
          <w:rFonts w:ascii="Calibri" w:hAnsi="Calibri" w:cs="Calibri"/>
          <w:b/>
          <w:color w:val="13576B"/>
          <w:sz w:val="20"/>
        </w:rPr>
        <w:t xml:space="preserve">budou nadále klesat a v letošním roce by se měla základní sazba ČNB dostat </w:t>
      </w:r>
      <w:r w:rsidR="00C416EF">
        <w:rPr>
          <w:rFonts w:ascii="Calibri" w:hAnsi="Calibri" w:cs="Calibri"/>
          <w:b/>
          <w:color w:val="13576B"/>
          <w:sz w:val="20"/>
        </w:rPr>
        <w:t>mírně</w:t>
      </w:r>
      <w:r w:rsidR="006B2CA3">
        <w:rPr>
          <w:rFonts w:ascii="Calibri" w:hAnsi="Calibri" w:cs="Calibri"/>
          <w:b/>
          <w:color w:val="13576B"/>
          <w:sz w:val="20"/>
        </w:rPr>
        <w:t> </w:t>
      </w:r>
      <w:r w:rsidR="00F829DC">
        <w:rPr>
          <w:rFonts w:ascii="Calibri" w:hAnsi="Calibri" w:cs="Calibri"/>
          <w:b/>
          <w:color w:val="13576B"/>
          <w:sz w:val="20"/>
        </w:rPr>
        <w:t xml:space="preserve">pod </w:t>
      </w:r>
      <w:r w:rsidR="00821693">
        <w:rPr>
          <w:rFonts w:ascii="Calibri" w:hAnsi="Calibri" w:cs="Calibri"/>
          <w:b/>
          <w:color w:val="13576B"/>
          <w:sz w:val="20"/>
        </w:rPr>
        <w:t>4%</w:t>
      </w:r>
      <w:r w:rsidR="00F829DC">
        <w:rPr>
          <w:rFonts w:ascii="Calibri" w:hAnsi="Calibri" w:cs="Calibri"/>
          <w:b/>
          <w:color w:val="13576B"/>
          <w:sz w:val="20"/>
        </w:rPr>
        <w:t xml:space="preserve"> </w:t>
      </w:r>
      <w:r w:rsidR="00D260F0">
        <w:rPr>
          <w:rFonts w:ascii="Calibri" w:hAnsi="Calibri" w:cs="Calibri"/>
          <w:b/>
          <w:color w:val="13576B"/>
          <w:sz w:val="20"/>
        </w:rPr>
        <w:t>úroveň</w:t>
      </w:r>
      <w:r w:rsidR="00821693">
        <w:rPr>
          <w:rFonts w:ascii="Calibri" w:hAnsi="Calibri" w:cs="Calibri"/>
          <w:b/>
          <w:color w:val="13576B"/>
          <w:sz w:val="20"/>
        </w:rPr>
        <w:t xml:space="preserve">, v příštím roce pak </w:t>
      </w:r>
      <w:r w:rsidR="00C416EF">
        <w:rPr>
          <w:rFonts w:ascii="Calibri" w:hAnsi="Calibri" w:cs="Calibri"/>
          <w:b/>
          <w:color w:val="13576B"/>
          <w:sz w:val="20"/>
        </w:rPr>
        <w:t xml:space="preserve">dále </w:t>
      </w:r>
      <w:r w:rsidR="007560A8">
        <w:rPr>
          <w:rFonts w:ascii="Calibri" w:hAnsi="Calibri" w:cs="Calibri"/>
          <w:b/>
          <w:color w:val="13576B"/>
          <w:sz w:val="20"/>
        </w:rPr>
        <w:t>k </w:t>
      </w:r>
      <w:r w:rsidR="00821693">
        <w:rPr>
          <w:rFonts w:ascii="Calibri" w:hAnsi="Calibri" w:cs="Calibri"/>
          <w:b/>
          <w:color w:val="13576B"/>
          <w:sz w:val="20"/>
        </w:rPr>
        <w:t>3</w:t>
      </w:r>
      <w:r w:rsidR="007560A8">
        <w:rPr>
          <w:rFonts w:ascii="Calibri" w:hAnsi="Calibri" w:cs="Calibri"/>
          <w:b/>
          <w:color w:val="13576B"/>
          <w:sz w:val="20"/>
        </w:rPr>
        <w:t>,5</w:t>
      </w:r>
      <w:r w:rsidR="00821693">
        <w:rPr>
          <w:rFonts w:ascii="Calibri" w:hAnsi="Calibri" w:cs="Calibri"/>
          <w:b/>
          <w:color w:val="13576B"/>
          <w:sz w:val="20"/>
        </w:rPr>
        <w:t xml:space="preserve"> %.</w:t>
      </w:r>
      <w:r w:rsidR="00B11E30" w:rsidRPr="00906FDC">
        <w:rPr>
          <w:rFonts w:ascii="Calibri" w:hAnsi="Calibri" w:cs="Calibri"/>
          <w:b/>
          <w:color w:val="13576B"/>
          <w:sz w:val="20"/>
        </w:rPr>
        <w:t xml:space="preserve"> Kurz koruny</w:t>
      </w:r>
      <w:r w:rsidR="007560A8">
        <w:rPr>
          <w:rFonts w:ascii="Calibri" w:hAnsi="Calibri" w:cs="Calibri"/>
          <w:b/>
          <w:color w:val="13576B"/>
          <w:sz w:val="20"/>
        </w:rPr>
        <w:t xml:space="preserve"> byl v nové prognóze přehodnocen směrem ke slabším hodnotám a v průměru by se měl letos pohybovat u 25 Kč za euro, </w:t>
      </w:r>
      <w:r w:rsidR="00261296">
        <w:rPr>
          <w:rFonts w:ascii="Calibri" w:hAnsi="Calibri" w:cs="Calibri"/>
          <w:b/>
          <w:color w:val="13576B"/>
          <w:sz w:val="20"/>
        </w:rPr>
        <w:t xml:space="preserve">v příštím roce </w:t>
      </w:r>
      <w:r w:rsidR="007560A8">
        <w:rPr>
          <w:rFonts w:ascii="Calibri" w:hAnsi="Calibri" w:cs="Calibri"/>
          <w:b/>
          <w:color w:val="13576B"/>
          <w:sz w:val="20"/>
        </w:rPr>
        <w:t>by měla koruna posílit k </w:t>
      </w:r>
      <w:r w:rsidR="000013D3">
        <w:rPr>
          <w:rFonts w:ascii="Calibri" w:hAnsi="Calibri" w:cs="Calibri"/>
          <w:b/>
          <w:color w:val="13576B"/>
          <w:sz w:val="20"/>
        </w:rPr>
        <w:t>hranici</w:t>
      </w:r>
      <w:r w:rsidR="007560A8">
        <w:rPr>
          <w:rFonts w:ascii="Calibri" w:hAnsi="Calibri" w:cs="Calibri"/>
          <w:b/>
          <w:color w:val="13576B"/>
          <w:sz w:val="20"/>
        </w:rPr>
        <w:t xml:space="preserve"> 24,</w:t>
      </w:r>
      <w:r w:rsidR="00595FD2">
        <w:rPr>
          <w:rFonts w:ascii="Calibri" w:hAnsi="Calibri" w:cs="Calibri"/>
          <w:b/>
          <w:color w:val="13576B"/>
          <w:sz w:val="20"/>
        </w:rPr>
        <w:t>7</w:t>
      </w:r>
      <w:r w:rsidR="007560A8">
        <w:rPr>
          <w:rFonts w:ascii="Calibri" w:hAnsi="Calibri" w:cs="Calibri"/>
          <w:b/>
          <w:color w:val="13576B"/>
          <w:sz w:val="20"/>
        </w:rPr>
        <w:t xml:space="preserve"> Kč za euro.</w:t>
      </w:r>
    </w:p>
    <w:p w14:paraId="031813F8" w14:textId="4B5C1171" w:rsidR="001C333D" w:rsidRPr="00FC11E3" w:rsidRDefault="006756EC" w:rsidP="001C333D">
      <w:pPr>
        <w:rPr>
          <w:rFonts w:ascii="Calibri" w:hAnsi="Calibri" w:cs="Calibri"/>
          <w:b/>
          <w:color w:val="13576B"/>
          <w:sz w:val="22"/>
          <w:szCs w:val="22"/>
        </w:rPr>
      </w:pPr>
      <w:r w:rsidRPr="00FC11E3">
        <w:rPr>
          <w:rFonts w:ascii="Calibri" w:hAnsi="Calibri" w:cs="Calibri"/>
          <w:b/>
          <w:color w:val="13576B"/>
          <w:sz w:val="22"/>
          <w:szCs w:val="22"/>
        </w:rPr>
        <w:t>Nejistota globálního vývoje přetrvává</w:t>
      </w:r>
    </w:p>
    <w:p w14:paraId="76BA416F" w14:textId="599497E8" w:rsidR="00F73328" w:rsidRDefault="00DD2480" w:rsidP="00786866">
      <w:pPr>
        <w:rPr>
          <w:rFonts w:ascii="Calibri" w:hAnsi="Calibri" w:cs="Calibri"/>
          <w:sz w:val="20"/>
        </w:rPr>
      </w:pPr>
      <w:r w:rsidRPr="00FC11E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7E5370" wp14:editId="14A9B8D1">
                <wp:simplePos x="0" y="0"/>
                <wp:positionH relativeFrom="margin">
                  <wp:posOffset>-51435</wp:posOffset>
                </wp:positionH>
                <wp:positionV relativeFrom="paragraph">
                  <wp:posOffset>1481455</wp:posOffset>
                </wp:positionV>
                <wp:extent cx="6461760" cy="864870"/>
                <wp:effectExtent l="0" t="0" r="15240" b="114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02031" w14:textId="61D59744" w:rsidR="00BF5C5A" w:rsidRPr="00F934FC" w:rsidRDefault="00BF5C5A" w:rsidP="00BF5C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F934F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Jakub Seidler, hlavní ekonom České bankovní asociace:</w:t>
                            </w:r>
                          </w:p>
                          <w:p w14:paraId="06CFC5A8" w14:textId="1E9F10AF" w:rsidR="00BF5C5A" w:rsidRPr="0032297D" w:rsidRDefault="00BF5C5A" w:rsidP="00BF5C5A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</w:pPr>
                            <w:bookmarkStart w:id="0" w:name="_Hlk173838755"/>
                            <w:bookmarkStart w:id="1" w:name="_Hlk173838756"/>
                            <w:bookmarkStart w:id="2" w:name="_Hlk173838757"/>
                            <w:bookmarkStart w:id="3" w:name="_Hlk173838758"/>
                            <w:r w:rsidRPr="00F934FC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„</w:t>
                            </w:r>
                            <w:r w:rsidR="007560A8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 xml:space="preserve">Vývoj v zahraničí </w:t>
                            </w:r>
                            <w:r w:rsidR="00C416E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bohužel nenaplnil příznivější očekávání z poslední prognózy. Zotavování německé ekonomiky se zadrhlo, opět se výrazněji zvýšily obavy z recese v USA a řada rizik přetrvává i co se týče vývoje v Číně.</w:t>
                            </w:r>
                            <w:r w:rsidR="00595FD2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 xml:space="preserve"> Také vstup do druhé poloviny roku dle předstihových ukazatelů příliš </w:t>
                            </w:r>
                            <w:r w:rsidR="002A2CD8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optimistické</w:t>
                            </w:r>
                            <w:r w:rsidR="00595FD2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 xml:space="preserve"> vyhlídky nepředznamenává. </w:t>
                            </w:r>
                            <w:r w:rsidR="00C416E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To vše vedlo k přehodnocení odhadů růstu tuzemské ekonomiky zpět pod 1 %</w:t>
                            </w:r>
                            <w:r w:rsidR="00FC11E3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.</w:t>
                            </w:r>
                            <w:r w:rsidR="007560A8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“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E537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4.05pt;margin-top:116.65pt;width:508.8pt;height:6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">
                <v:textbox>
                  <w:txbxContent>
                    <w:p w14:paraId="33B02031" w14:textId="61D59744" w:rsidR="00BF5C5A" w:rsidRPr="00F934FC" w:rsidRDefault="00BF5C5A" w:rsidP="00BF5C5A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F934F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Jakub Seidler, hlavní ekonom České bankovní asociace:</w:t>
                      </w:r>
                    </w:p>
                    <w:p w14:paraId="06CFC5A8" w14:textId="1E9F10AF" w:rsidR="00BF5C5A" w:rsidRPr="0032297D" w:rsidRDefault="00BF5C5A" w:rsidP="00BF5C5A">
                      <w:pPr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</w:pPr>
                      <w:bookmarkStart w:id="4" w:name="_Hlk173838755"/>
                      <w:bookmarkStart w:id="5" w:name="_Hlk173838756"/>
                      <w:bookmarkStart w:id="6" w:name="_Hlk173838757"/>
                      <w:bookmarkStart w:id="7" w:name="_Hlk173838758"/>
                      <w:r w:rsidRPr="00F934FC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„</w:t>
                      </w:r>
                      <w:r w:rsidR="007560A8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 xml:space="preserve">Vývoj v zahraničí </w:t>
                      </w:r>
                      <w:r w:rsidR="00C416EF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bohužel nenaplnil příznivější očekávání z poslední prognózy. Zotavování německé ekonomiky se zadrhlo, opět se výrazněji zvýšily obavy z recese v USA a řada rizik přetrvává i co se týče vývoje v Číně.</w:t>
                      </w:r>
                      <w:r w:rsidR="00595FD2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 xml:space="preserve"> Také vstup do druhé poloviny roku dle předstihových ukazatelů příliš </w:t>
                      </w:r>
                      <w:r w:rsidR="002A2CD8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optimistické</w:t>
                      </w:r>
                      <w:r w:rsidR="00595FD2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 xml:space="preserve"> vyhlídky nepředznamenává. </w:t>
                      </w:r>
                      <w:r w:rsidR="00C416EF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To vše vedlo k přehodnocení odhadů růstu tuzemské ekonomiky zpět pod 1 %</w:t>
                      </w:r>
                      <w:r w:rsidR="00FC11E3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.</w:t>
                      </w:r>
                      <w:r w:rsidR="007560A8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“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sz w:val="20"/>
        </w:rPr>
        <w:t>G</w:t>
      </w:r>
      <w:r w:rsidR="006756EC" w:rsidRPr="00FC11E3">
        <w:rPr>
          <w:rFonts w:ascii="Calibri" w:hAnsi="Calibri" w:cs="Calibri"/>
          <w:sz w:val="20"/>
        </w:rPr>
        <w:t>lobální ekonomik</w:t>
      </w:r>
      <w:r>
        <w:rPr>
          <w:rFonts w:ascii="Calibri" w:hAnsi="Calibri" w:cs="Calibri"/>
          <w:sz w:val="20"/>
        </w:rPr>
        <w:t>a nakonec ne</w:t>
      </w:r>
      <w:r w:rsidR="00F829DC">
        <w:rPr>
          <w:rFonts w:ascii="Calibri" w:hAnsi="Calibri" w:cs="Calibri"/>
          <w:sz w:val="20"/>
        </w:rPr>
        <w:t xml:space="preserve">naplnila v první polovině roku očekávání rychlejšího zotavování a </w:t>
      </w:r>
      <w:r w:rsidR="00D260F0">
        <w:rPr>
          <w:rFonts w:ascii="Calibri" w:hAnsi="Calibri" w:cs="Calibri"/>
          <w:sz w:val="20"/>
        </w:rPr>
        <w:t xml:space="preserve">první </w:t>
      </w:r>
      <w:r w:rsidR="00F829DC">
        <w:rPr>
          <w:rFonts w:ascii="Calibri" w:hAnsi="Calibri" w:cs="Calibri"/>
          <w:sz w:val="20"/>
        </w:rPr>
        <w:t>vpřed</w:t>
      </w:r>
      <w:r w:rsidR="00582D22">
        <w:rPr>
          <w:rFonts w:ascii="Calibri" w:hAnsi="Calibri" w:cs="Calibri"/>
          <w:sz w:val="20"/>
        </w:rPr>
        <w:t>-</w:t>
      </w:r>
      <w:r w:rsidR="00F829DC">
        <w:rPr>
          <w:rFonts w:ascii="Calibri" w:hAnsi="Calibri" w:cs="Calibri"/>
          <w:sz w:val="20"/>
        </w:rPr>
        <w:t>hledící indikátor</w:t>
      </w:r>
      <w:r w:rsidR="00D260F0">
        <w:rPr>
          <w:rFonts w:ascii="Calibri" w:hAnsi="Calibri" w:cs="Calibri"/>
          <w:sz w:val="20"/>
        </w:rPr>
        <w:t>y ze začátku druhé poloviny roku optimistická očekávání dále utlumily.</w:t>
      </w:r>
      <w:r w:rsidR="00F829DC">
        <w:rPr>
          <w:rFonts w:ascii="Calibri" w:hAnsi="Calibri" w:cs="Calibri"/>
          <w:sz w:val="20"/>
        </w:rPr>
        <w:t xml:space="preserve"> Ačkoli samotný růst eurozóny ve druhém čtvrtletí skončil mírně nad očekávání, vývoj byl různorodý a pro tuzems</w:t>
      </w:r>
      <w:r w:rsidR="00060800">
        <w:rPr>
          <w:rFonts w:ascii="Calibri" w:hAnsi="Calibri" w:cs="Calibri"/>
          <w:sz w:val="20"/>
        </w:rPr>
        <w:t xml:space="preserve">ký průmysl </w:t>
      </w:r>
      <w:r w:rsidR="00F829DC">
        <w:rPr>
          <w:rFonts w:ascii="Calibri" w:hAnsi="Calibri" w:cs="Calibri"/>
          <w:sz w:val="20"/>
        </w:rPr>
        <w:t xml:space="preserve">důležitá německá ekonomika zklamala a mezičtvrtletně poklesla. V posledních dnech pak začaly trhy daleko citlivěji vnímat slabší ekonomická data ze Spojených států a zvyšovat tak sázky na </w:t>
      </w:r>
      <w:r w:rsidR="00060800">
        <w:rPr>
          <w:rFonts w:ascii="Calibri" w:hAnsi="Calibri" w:cs="Calibri"/>
          <w:sz w:val="20"/>
        </w:rPr>
        <w:t xml:space="preserve">příchod recese a </w:t>
      </w:r>
      <w:r w:rsidR="00F829DC">
        <w:rPr>
          <w:rFonts w:ascii="Calibri" w:hAnsi="Calibri" w:cs="Calibri"/>
          <w:sz w:val="20"/>
        </w:rPr>
        <w:t xml:space="preserve">rychlejší pokles sazeb </w:t>
      </w:r>
      <w:proofErr w:type="spellStart"/>
      <w:r w:rsidR="00F829DC">
        <w:rPr>
          <w:rFonts w:ascii="Calibri" w:hAnsi="Calibri" w:cs="Calibri"/>
          <w:sz w:val="20"/>
        </w:rPr>
        <w:t>Fedu</w:t>
      </w:r>
      <w:proofErr w:type="spellEnd"/>
      <w:r w:rsidR="00F829DC">
        <w:rPr>
          <w:rFonts w:ascii="Calibri" w:hAnsi="Calibri" w:cs="Calibri"/>
          <w:sz w:val="20"/>
        </w:rPr>
        <w:t>. Očekávání se tak dostala zpět, kde byla na začátku roku, tj. že by se mohly</w:t>
      </w:r>
      <w:r w:rsidR="00060800">
        <w:rPr>
          <w:rFonts w:ascii="Calibri" w:hAnsi="Calibri" w:cs="Calibri"/>
          <w:sz w:val="20"/>
        </w:rPr>
        <w:t xml:space="preserve"> základní sazby</w:t>
      </w:r>
      <w:r w:rsidR="00F829DC">
        <w:rPr>
          <w:rFonts w:ascii="Calibri" w:hAnsi="Calibri" w:cs="Calibri"/>
          <w:sz w:val="20"/>
        </w:rPr>
        <w:t xml:space="preserve"> </w:t>
      </w:r>
      <w:r w:rsidR="002178D0">
        <w:rPr>
          <w:rFonts w:ascii="Calibri" w:hAnsi="Calibri" w:cs="Calibri"/>
          <w:sz w:val="20"/>
        </w:rPr>
        <w:t>v U</w:t>
      </w:r>
      <w:r w:rsidR="00582D22">
        <w:rPr>
          <w:rFonts w:ascii="Calibri" w:hAnsi="Calibri" w:cs="Calibri"/>
          <w:sz w:val="20"/>
        </w:rPr>
        <w:t>S</w:t>
      </w:r>
      <w:r w:rsidR="002178D0">
        <w:rPr>
          <w:rFonts w:ascii="Calibri" w:hAnsi="Calibri" w:cs="Calibri"/>
          <w:sz w:val="20"/>
        </w:rPr>
        <w:t xml:space="preserve">A </w:t>
      </w:r>
      <w:r w:rsidR="00F829DC">
        <w:rPr>
          <w:rFonts w:ascii="Calibri" w:hAnsi="Calibri" w:cs="Calibri"/>
          <w:sz w:val="20"/>
        </w:rPr>
        <w:t xml:space="preserve">do konce letošního roku snížit o více než </w:t>
      </w:r>
      <w:proofErr w:type="gramStart"/>
      <w:r w:rsidR="00F829DC">
        <w:rPr>
          <w:rFonts w:ascii="Calibri" w:hAnsi="Calibri" w:cs="Calibri"/>
          <w:sz w:val="20"/>
        </w:rPr>
        <w:t>1</w:t>
      </w:r>
      <w:r w:rsidR="00D260F0">
        <w:rPr>
          <w:rFonts w:ascii="Calibri" w:hAnsi="Calibri" w:cs="Calibri"/>
          <w:sz w:val="20"/>
        </w:rPr>
        <w:t xml:space="preserve"> </w:t>
      </w:r>
      <w:r w:rsidR="00F829DC">
        <w:rPr>
          <w:rFonts w:ascii="Calibri" w:hAnsi="Calibri" w:cs="Calibri"/>
          <w:sz w:val="20"/>
        </w:rPr>
        <w:t>procentní</w:t>
      </w:r>
      <w:proofErr w:type="gramEnd"/>
      <w:r w:rsidR="00F829DC">
        <w:rPr>
          <w:rFonts w:ascii="Calibri" w:hAnsi="Calibri" w:cs="Calibri"/>
          <w:sz w:val="20"/>
        </w:rPr>
        <w:t xml:space="preserve"> bod. Trh je tak letos obzvláště citlivý na příchozí makroekonomická data, což přináší skokové změny v řadě tržních proměnných, včetně domácích úrokových sazeb. </w:t>
      </w:r>
      <w:r w:rsidR="00F829DC" w:rsidRPr="00906FDC">
        <w:rPr>
          <w:rFonts w:ascii="Calibri" w:hAnsi="Calibri" w:cs="Calibri"/>
          <w:sz w:val="20"/>
        </w:rPr>
        <w:t xml:space="preserve">Eskalace geopolitických rizik na Blízkém východě doposud </w:t>
      </w:r>
      <w:r w:rsidR="003B21DD">
        <w:rPr>
          <w:rFonts w:ascii="Calibri" w:hAnsi="Calibri" w:cs="Calibri"/>
          <w:sz w:val="20"/>
        </w:rPr>
        <w:t xml:space="preserve">prozatím </w:t>
      </w:r>
      <w:r w:rsidR="00F829DC" w:rsidRPr="00906FDC">
        <w:rPr>
          <w:rFonts w:ascii="Calibri" w:hAnsi="Calibri" w:cs="Calibri"/>
          <w:sz w:val="20"/>
        </w:rPr>
        <w:t>nezpůsobila citelnější růst cen komodit, které by mohly probíhající dezinflační proces zpomalit</w:t>
      </w:r>
      <w:r w:rsidR="00F829DC">
        <w:rPr>
          <w:rFonts w:ascii="Calibri" w:hAnsi="Calibri" w:cs="Calibri"/>
          <w:sz w:val="20"/>
        </w:rPr>
        <w:t xml:space="preserve"> či zcela narušit</w:t>
      </w:r>
      <w:r w:rsidR="00F829DC" w:rsidRPr="00906FDC">
        <w:rPr>
          <w:rFonts w:ascii="Calibri" w:hAnsi="Calibri" w:cs="Calibri"/>
          <w:sz w:val="20"/>
        </w:rPr>
        <w:t>, rizika</w:t>
      </w:r>
      <w:r w:rsidR="003B21DD">
        <w:rPr>
          <w:rFonts w:ascii="Calibri" w:hAnsi="Calibri" w:cs="Calibri"/>
          <w:sz w:val="20"/>
        </w:rPr>
        <w:t xml:space="preserve"> však</w:t>
      </w:r>
      <w:r w:rsidR="00F829DC" w:rsidRPr="00906FDC">
        <w:rPr>
          <w:rFonts w:ascii="Calibri" w:hAnsi="Calibri" w:cs="Calibri"/>
          <w:sz w:val="20"/>
        </w:rPr>
        <w:t xml:space="preserve"> zůstávají zvýšená</w:t>
      </w:r>
      <w:r w:rsidR="00F829DC">
        <w:rPr>
          <w:rFonts w:ascii="Calibri" w:hAnsi="Calibri" w:cs="Calibri"/>
          <w:sz w:val="20"/>
        </w:rPr>
        <w:t>, a to zejména v kontextu růstu cen námořní dopravy.</w:t>
      </w:r>
    </w:p>
    <w:p w14:paraId="10FEB783" w14:textId="4E23E8DE" w:rsidR="002C752B" w:rsidRPr="00FC11E3" w:rsidRDefault="00DD2480" w:rsidP="00AB39A4">
      <w:pPr>
        <w:rPr>
          <w:rFonts w:ascii="Calibri" w:hAnsi="Calibri" w:cs="Calibri"/>
          <w:b/>
          <w:color w:val="13576B"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>T</w:t>
      </w:r>
      <w:r w:rsidR="00F201D6" w:rsidRPr="00FC11E3">
        <w:rPr>
          <w:rFonts w:ascii="Calibri" w:hAnsi="Calibri" w:cs="Calibri"/>
          <w:b/>
          <w:color w:val="13576B"/>
          <w:sz w:val="22"/>
          <w:szCs w:val="22"/>
        </w:rPr>
        <w:t>uzemsk</w:t>
      </w:r>
      <w:r>
        <w:rPr>
          <w:rFonts w:ascii="Calibri" w:hAnsi="Calibri" w:cs="Calibri"/>
          <w:b/>
          <w:color w:val="13576B"/>
          <w:sz w:val="22"/>
          <w:szCs w:val="22"/>
        </w:rPr>
        <w:t>á</w:t>
      </w:r>
      <w:r w:rsidR="00F201D6" w:rsidRPr="00FC11E3">
        <w:rPr>
          <w:rFonts w:ascii="Calibri" w:hAnsi="Calibri" w:cs="Calibri"/>
          <w:b/>
          <w:color w:val="13576B"/>
          <w:sz w:val="22"/>
          <w:szCs w:val="22"/>
        </w:rPr>
        <w:t xml:space="preserve"> ekonomik</w:t>
      </w:r>
      <w:r>
        <w:rPr>
          <w:rFonts w:ascii="Calibri" w:hAnsi="Calibri" w:cs="Calibri"/>
          <w:b/>
          <w:color w:val="13576B"/>
          <w:sz w:val="22"/>
          <w:szCs w:val="22"/>
        </w:rPr>
        <w:t>a roste letos jen mírně</w:t>
      </w:r>
    </w:p>
    <w:p w14:paraId="5533592E" w14:textId="494A571B" w:rsidR="007201F3" w:rsidRDefault="00635DD9" w:rsidP="00AB39A4">
      <w:pPr>
        <w:rPr>
          <w:rFonts w:ascii="Calibri" w:hAnsi="Calibri" w:cs="Calibri"/>
          <w:sz w:val="20"/>
        </w:rPr>
      </w:pPr>
      <w:r w:rsidRPr="00FC11E3">
        <w:rPr>
          <w:b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58E977" wp14:editId="18DA393A">
                <wp:simplePos x="0" y="0"/>
                <wp:positionH relativeFrom="margin">
                  <wp:posOffset>-51607</wp:posOffset>
                </wp:positionH>
                <wp:positionV relativeFrom="paragraph">
                  <wp:posOffset>1616200</wp:posOffset>
                </wp:positionV>
                <wp:extent cx="6461760" cy="885061"/>
                <wp:effectExtent l="0" t="0" r="15240" b="1079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885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AE2B2" w14:textId="77777777" w:rsidR="00205BC3" w:rsidRDefault="00205BC3" w:rsidP="00205BC3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</w:pPr>
                            <w:r w:rsidRPr="00EE6EA2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Petr Sklenář, </w:t>
                            </w:r>
                            <w:r w:rsidRPr="00DA61A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hlavní ekonom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J&amp;T</w:t>
                            </w:r>
                            <w:r w:rsidRPr="00DA61A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 Bank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y</w:t>
                            </w:r>
                            <w:r w:rsidRPr="00DA61A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:</w:t>
                            </w:r>
                            <w:r w:rsidRPr="00EE6EA2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14:paraId="3D18E4A1" w14:textId="63E518FD" w:rsidR="00F01F41" w:rsidRPr="00F37DC9" w:rsidRDefault="002C2AE2" w:rsidP="002C2AE2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C2DE4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„</w:t>
                            </w:r>
                            <w:r w:rsidR="0061416D" w:rsidRPr="0061416D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Růst české ekonomiky v první polovině roku zůstal utlumený a podle očekávání ho táhlo oživení spotřebitelské poptávky domácností. Ve zbytku roku očekáváme jen pozvolné zlepšení, celoroční růst by měl být pod 1 procentem. Zrychlení růstu na 2,7 % se očekává až v příštím roce. Za zvýšením tempa růstu by měla být jak domácí poptávka, tak i lepší vývoj v zahraničí.</w:t>
                            </w:r>
                            <w:r w:rsidR="000F6888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E977" id="Textové pole 1" o:spid="_x0000_s1027" type="#_x0000_t202" style="position:absolute;left:0;text-align:left;margin-left:-4.05pt;margin-top:127.25pt;width:508.8pt;height:69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">
                <v:textbox>
                  <w:txbxContent>
                    <w:p w14:paraId="585AE2B2" w14:textId="77777777" w:rsidR="00205BC3" w:rsidRDefault="00205BC3" w:rsidP="00205BC3">
                      <w:pPr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</w:pPr>
                      <w:r w:rsidRPr="00EE6EA2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Petr Sklenář, </w:t>
                      </w:r>
                      <w:r w:rsidRPr="00DA61AD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hlavní ekonom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J&amp;T</w:t>
                      </w:r>
                      <w:r w:rsidRPr="00DA61AD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 Bank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y</w:t>
                      </w:r>
                      <w:r w:rsidRPr="00DA61AD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:</w:t>
                      </w:r>
                      <w:r w:rsidRPr="00EE6EA2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14:paraId="3D18E4A1" w14:textId="63E518FD" w:rsidR="00F01F41" w:rsidRPr="00F37DC9" w:rsidRDefault="002C2AE2" w:rsidP="002C2AE2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C2DE4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„</w:t>
                      </w:r>
                      <w:r w:rsidR="0061416D" w:rsidRPr="0061416D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Růst české ekonomiky v první polovině roku zůstal utlumený a podle očekávání ho táhlo oživení spotřebitelské poptávky domácností. Ve zbytku roku očekáváme jen pozvolné zlepšení, celoroční růst by měl být pod 1 procentem. Zrychlení růstu na 2,7 % se očekává až v příštím roce. Za zvýšením tempa růstu by měla být jak domácí poptávka, tak i lepší vývoj v zahraničí.</w:t>
                      </w:r>
                      <w:r w:rsidR="000F6888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118A" w:rsidRPr="00FC11E3">
        <w:rPr>
          <w:rFonts w:ascii="Calibri" w:hAnsi="Calibri" w:cs="Calibri"/>
          <w:b/>
          <w:bCs/>
          <w:sz w:val="20"/>
        </w:rPr>
        <w:t xml:space="preserve">Nová </w:t>
      </w:r>
      <w:r w:rsidR="00B3068D" w:rsidRPr="00FC11E3">
        <w:rPr>
          <w:rFonts w:ascii="Calibri" w:hAnsi="Calibri" w:cs="Calibri"/>
          <w:b/>
          <w:bCs/>
          <w:sz w:val="20"/>
        </w:rPr>
        <w:t>prognóz</w:t>
      </w:r>
      <w:r w:rsidR="00FA68D2" w:rsidRPr="00FC11E3">
        <w:rPr>
          <w:rFonts w:ascii="Calibri" w:hAnsi="Calibri" w:cs="Calibri"/>
          <w:b/>
          <w:bCs/>
          <w:sz w:val="20"/>
        </w:rPr>
        <w:t>a</w:t>
      </w:r>
      <w:r w:rsidR="00B3068D" w:rsidRPr="00FC11E3">
        <w:rPr>
          <w:rFonts w:ascii="Calibri" w:hAnsi="Calibri" w:cs="Calibri"/>
          <w:b/>
          <w:bCs/>
          <w:sz w:val="20"/>
        </w:rPr>
        <w:t xml:space="preserve"> ČBA</w:t>
      </w:r>
      <w:r w:rsidR="0077118A" w:rsidRPr="00FC11E3">
        <w:rPr>
          <w:rFonts w:ascii="Calibri" w:hAnsi="Calibri" w:cs="Calibri"/>
          <w:b/>
          <w:bCs/>
          <w:sz w:val="20"/>
        </w:rPr>
        <w:t xml:space="preserve"> pro letošní rok </w:t>
      </w:r>
      <w:r w:rsidR="00AC12D8" w:rsidRPr="00FC11E3">
        <w:rPr>
          <w:rFonts w:ascii="Calibri" w:hAnsi="Calibri" w:cs="Calibri"/>
          <w:b/>
          <w:bCs/>
          <w:sz w:val="20"/>
        </w:rPr>
        <w:t xml:space="preserve">přehodnotila </w:t>
      </w:r>
      <w:r w:rsidR="00D260F0">
        <w:rPr>
          <w:rFonts w:ascii="Calibri" w:hAnsi="Calibri" w:cs="Calibri"/>
          <w:b/>
          <w:bCs/>
          <w:sz w:val="20"/>
        </w:rPr>
        <w:t xml:space="preserve">očekávání růstu </w:t>
      </w:r>
      <w:r w:rsidR="00AC12D8" w:rsidRPr="00FC11E3">
        <w:rPr>
          <w:rFonts w:ascii="Calibri" w:hAnsi="Calibri" w:cs="Calibri"/>
          <w:b/>
          <w:bCs/>
          <w:sz w:val="20"/>
        </w:rPr>
        <w:t xml:space="preserve">tuzemské ekonomiky směrem </w:t>
      </w:r>
      <w:r w:rsidR="00C416EF">
        <w:rPr>
          <w:rFonts w:ascii="Calibri" w:hAnsi="Calibri" w:cs="Calibri"/>
          <w:b/>
          <w:bCs/>
          <w:sz w:val="20"/>
        </w:rPr>
        <w:t>dolů</w:t>
      </w:r>
      <w:r w:rsidR="00F201D6" w:rsidRPr="00FC11E3">
        <w:rPr>
          <w:rFonts w:ascii="Calibri" w:hAnsi="Calibri" w:cs="Calibri"/>
          <w:b/>
          <w:bCs/>
          <w:sz w:val="20"/>
        </w:rPr>
        <w:t>, a to z 1,</w:t>
      </w:r>
      <w:r w:rsidR="00DD2480">
        <w:rPr>
          <w:rFonts w:ascii="Calibri" w:hAnsi="Calibri" w:cs="Calibri"/>
          <w:b/>
          <w:bCs/>
          <w:sz w:val="20"/>
        </w:rPr>
        <w:t>4</w:t>
      </w:r>
      <w:r w:rsidR="00F201D6" w:rsidRPr="00FC11E3">
        <w:rPr>
          <w:rFonts w:ascii="Calibri" w:hAnsi="Calibri" w:cs="Calibri"/>
          <w:b/>
          <w:bCs/>
          <w:sz w:val="20"/>
        </w:rPr>
        <w:t xml:space="preserve"> na </w:t>
      </w:r>
      <w:r w:rsidR="00DD2480">
        <w:rPr>
          <w:rFonts w:ascii="Calibri" w:hAnsi="Calibri" w:cs="Calibri"/>
          <w:b/>
          <w:bCs/>
          <w:sz w:val="20"/>
        </w:rPr>
        <w:t>0,9</w:t>
      </w:r>
      <w:r w:rsidR="00F201D6" w:rsidRPr="00FC11E3">
        <w:rPr>
          <w:rFonts w:ascii="Calibri" w:hAnsi="Calibri" w:cs="Calibri"/>
          <w:b/>
          <w:bCs/>
          <w:sz w:val="20"/>
        </w:rPr>
        <w:t xml:space="preserve"> %</w:t>
      </w:r>
      <w:r w:rsidR="00DD2480">
        <w:rPr>
          <w:rFonts w:ascii="Calibri" w:hAnsi="Calibri" w:cs="Calibri"/>
          <w:b/>
          <w:bCs/>
          <w:sz w:val="20"/>
        </w:rPr>
        <w:t>.</w:t>
      </w:r>
      <w:r w:rsidR="00D260F0">
        <w:rPr>
          <w:rFonts w:ascii="Calibri" w:hAnsi="Calibri" w:cs="Calibri"/>
          <w:b/>
          <w:bCs/>
          <w:sz w:val="20"/>
        </w:rPr>
        <w:t xml:space="preserve"> </w:t>
      </w:r>
      <w:r w:rsidR="00CE5236" w:rsidRPr="00FC11E3">
        <w:rPr>
          <w:rFonts w:ascii="Calibri" w:hAnsi="Calibri" w:cs="Calibri"/>
          <w:sz w:val="20"/>
        </w:rPr>
        <w:t>Dle p</w:t>
      </w:r>
      <w:r w:rsidR="00AC12D8" w:rsidRPr="00FC11E3">
        <w:rPr>
          <w:rFonts w:ascii="Calibri" w:hAnsi="Calibri" w:cs="Calibri"/>
          <w:sz w:val="20"/>
        </w:rPr>
        <w:t>ředběžn</w:t>
      </w:r>
      <w:r w:rsidR="00CE5236" w:rsidRPr="00FC11E3">
        <w:rPr>
          <w:rFonts w:ascii="Calibri" w:hAnsi="Calibri" w:cs="Calibri"/>
          <w:sz w:val="20"/>
        </w:rPr>
        <w:t>ého</w:t>
      </w:r>
      <w:r w:rsidR="00AC12D8" w:rsidRPr="00FC11E3">
        <w:rPr>
          <w:rFonts w:ascii="Calibri" w:hAnsi="Calibri" w:cs="Calibri"/>
          <w:sz w:val="20"/>
        </w:rPr>
        <w:t xml:space="preserve"> odhad</w:t>
      </w:r>
      <w:r w:rsidR="00CE5236" w:rsidRPr="00FC11E3">
        <w:rPr>
          <w:rFonts w:ascii="Calibri" w:hAnsi="Calibri" w:cs="Calibri"/>
          <w:sz w:val="20"/>
        </w:rPr>
        <w:t>u</w:t>
      </w:r>
      <w:r w:rsidR="00AC12D8" w:rsidRPr="00FC11E3">
        <w:rPr>
          <w:rFonts w:ascii="Calibri" w:hAnsi="Calibri" w:cs="Calibri"/>
          <w:sz w:val="20"/>
        </w:rPr>
        <w:t xml:space="preserve"> HDP za </w:t>
      </w:r>
      <w:r w:rsidR="00DD2480">
        <w:rPr>
          <w:rFonts w:ascii="Calibri" w:hAnsi="Calibri" w:cs="Calibri"/>
          <w:sz w:val="20"/>
        </w:rPr>
        <w:t>2</w:t>
      </w:r>
      <w:r w:rsidR="00AC12D8" w:rsidRPr="00FC11E3">
        <w:rPr>
          <w:rFonts w:ascii="Calibri" w:hAnsi="Calibri" w:cs="Calibri"/>
          <w:sz w:val="20"/>
        </w:rPr>
        <w:t>. čtvrtletí</w:t>
      </w:r>
      <w:r w:rsidR="00F201D6" w:rsidRPr="00FC11E3">
        <w:rPr>
          <w:rFonts w:ascii="Calibri" w:hAnsi="Calibri" w:cs="Calibri"/>
          <w:sz w:val="20"/>
        </w:rPr>
        <w:t xml:space="preserve"> letošního roku</w:t>
      </w:r>
      <w:r w:rsidR="007E5F13" w:rsidRPr="00FC11E3">
        <w:rPr>
          <w:rFonts w:ascii="Calibri" w:hAnsi="Calibri" w:cs="Calibri"/>
          <w:sz w:val="20"/>
        </w:rPr>
        <w:t xml:space="preserve"> </w:t>
      </w:r>
      <w:r w:rsidR="00CE5236" w:rsidRPr="00FC11E3">
        <w:rPr>
          <w:rFonts w:ascii="Calibri" w:hAnsi="Calibri" w:cs="Calibri"/>
          <w:sz w:val="20"/>
        </w:rPr>
        <w:t>tuzemsk</w:t>
      </w:r>
      <w:r w:rsidR="00915B01" w:rsidRPr="00FC11E3">
        <w:rPr>
          <w:rFonts w:ascii="Calibri" w:hAnsi="Calibri" w:cs="Calibri"/>
          <w:sz w:val="20"/>
        </w:rPr>
        <w:t>á</w:t>
      </w:r>
      <w:r w:rsidR="00CE5236" w:rsidRPr="00FC11E3">
        <w:rPr>
          <w:rFonts w:ascii="Calibri" w:hAnsi="Calibri" w:cs="Calibri"/>
          <w:sz w:val="20"/>
        </w:rPr>
        <w:t xml:space="preserve"> ekonomika </w:t>
      </w:r>
      <w:r w:rsidR="00F201D6" w:rsidRPr="00FC11E3">
        <w:rPr>
          <w:rFonts w:ascii="Calibri" w:hAnsi="Calibri" w:cs="Calibri"/>
          <w:sz w:val="20"/>
        </w:rPr>
        <w:t>mezičtvrtletně rostla o 0,</w:t>
      </w:r>
      <w:r w:rsidR="00DD2480">
        <w:rPr>
          <w:rFonts w:ascii="Calibri" w:hAnsi="Calibri" w:cs="Calibri"/>
          <w:sz w:val="20"/>
        </w:rPr>
        <w:t>3</w:t>
      </w:r>
      <w:r w:rsidR="00F201D6" w:rsidRPr="00FC11E3">
        <w:rPr>
          <w:rFonts w:ascii="Calibri" w:hAnsi="Calibri" w:cs="Calibri"/>
          <w:sz w:val="20"/>
        </w:rPr>
        <w:t xml:space="preserve"> % a pokračuje tak</w:t>
      </w:r>
      <w:r w:rsidR="00DD2480">
        <w:rPr>
          <w:rFonts w:ascii="Calibri" w:hAnsi="Calibri" w:cs="Calibri"/>
          <w:sz w:val="20"/>
        </w:rPr>
        <w:t xml:space="preserve"> jen</w:t>
      </w:r>
      <w:r w:rsidR="00F201D6" w:rsidRPr="00FC11E3">
        <w:rPr>
          <w:rFonts w:ascii="Calibri" w:hAnsi="Calibri" w:cs="Calibri"/>
          <w:sz w:val="20"/>
        </w:rPr>
        <w:t xml:space="preserve"> v</w:t>
      </w:r>
      <w:r w:rsidR="00DD2480">
        <w:rPr>
          <w:rFonts w:ascii="Calibri" w:hAnsi="Calibri" w:cs="Calibri"/>
          <w:sz w:val="20"/>
        </w:rPr>
        <w:t>e</w:t>
      </w:r>
      <w:r w:rsidR="00F201D6" w:rsidRPr="00FC11E3">
        <w:rPr>
          <w:rFonts w:ascii="Calibri" w:hAnsi="Calibri" w:cs="Calibri"/>
          <w:sz w:val="20"/>
        </w:rPr>
        <w:t xml:space="preserve"> </w:t>
      </w:r>
      <w:r w:rsidR="00DD2480">
        <w:rPr>
          <w:rFonts w:ascii="Calibri" w:hAnsi="Calibri" w:cs="Calibri"/>
          <w:sz w:val="20"/>
        </w:rPr>
        <w:t xml:space="preserve">velmi </w:t>
      </w:r>
      <w:r w:rsidR="00D260F0">
        <w:rPr>
          <w:rFonts w:ascii="Calibri" w:hAnsi="Calibri" w:cs="Calibri"/>
          <w:sz w:val="20"/>
        </w:rPr>
        <w:t>slabém</w:t>
      </w:r>
      <w:r w:rsidR="00F201D6" w:rsidRPr="00FC11E3">
        <w:rPr>
          <w:rFonts w:ascii="Calibri" w:hAnsi="Calibri" w:cs="Calibri"/>
          <w:sz w:val="20"/>
        </w:rPr>
        <w:t xml:space="preserve"> oživování</w:t>
      </w:r>
      <w:r w:rsidR="00DD2480">
        <w:rPr>
          <w:rFonts w:ascii="Calibri" w:hAnsi="Calibri" w:cs="Calibri"/>
          <w:sz w:val="20"/>
        </w:rPr>
        <w:t>m, které nenaplnilo očekávání z předešlé prognózy. Stejně tak zpřesněný vývoj HDP ukázal, že tuzemsk</w:t>
      </w:r>
      <w:r w:rsidR="00582D22">
        <w:rPr>
          <w:rFonts w:ascii="Calibri" w:hAnsi="Calibri" w:cs="Calibri"/>
          <w:sz w:val="20"/>
        </w:rPr>
        <w:t>á</w:t>
      </w:r>
      <w:r w:rsidR="00DD2480">
        <w:rPr>
          <w:rFonts w:ascii="Calibri" w:hAnsi="Calibri" w:cs="Calibri"/>
          <w:sz w:val="20"/>
        </w:rPr>
        <w:t xml:space="preserve"> ekonomika v 1. čtvrtletí rostla jen o nepatrných 0,2 %, zatímco první předběžný odhad naznačoval růst o 0,5 %.</w:t>
      </w:r>
      <w:r w:rsidR="00D260F0">
        <w:rPr>
          <w:rFonts w:ascii="Calibri" w:hAnsi="Calibri" w:cs="Calibri"/>
          <w:sz w:val="20"/>
        </w:rPr>
        <w:t xml:space="preserve"> </w:t>
      </w:r>
      <w:r w:rsidR="00DD2480">
        <w:rPr>
          <w:rFonts w:ascii="Calibri" w:hAnsi="Calibri" w:cs="Calibri"/>
          <w:sz w:val="20"/>
        </w:rPr>
        <w:t>Ačkoli velká revize národních účt</w:t>
      </w:r>
      <w:r w:rsidR="00CD61A3">
        <w:rPr>
          <w:rFonts w:ascii="Calibri" w:hAnsi="Calibri" w:cs="Calibri"/>
          <w:sz w:val="20"/>
        </w:rPr>
        <w:t>ů</w:t>
      </w:r>
      <w:r w:rsidR="00DD2480">
        <w:rPr>
          <w:rFonts w:ascii="Calibri" w:hAnsi="Calibri" w:cs="Calibri"/>
          <w:sz w:val="20"/>
        </w:rPr>
        <w:t xml:space="preserve"> z konce června a některá metodická zpřesnění způsobila, že ekonomika již dosáhla předpandemické úrovně posledního čtvrtletí 2019 podstatně dříve</w:t>
      </w:r>
      <w:r w:rsidR="00C416EF">
        <w:rPr>
          <w:rFonts w:ascii="Calibri" w:hAnsi="Calibri" w:cs="Calibri"/>
          <w:sz w:val="20"/>
        </w:rPr>
        <w:t>, a to v polovině roku 2022</w:t>
      </w:r>
      <w:r w:rsidR="00DD2480">
        <w:rPr>
          <w:rFonts w:ascii="Calibri" w:hAnsi="Calibri" w:cs="Calibri"/>
          <w:sz w:val="20"/>
        </w:rPr>
        <w:t xml:space="preserve">, stále ve srovnání s ostatními zeměmi EU </w:t>
      </w:r>
      <w:proofErr w:type="gramStart"/>
      <w:r w:rsidR="00DD2480">
        <w:rPr>
          <w:rFonts w:ascii="Calibri" w:hAnsi="Calibri" w:cs="Calibri"/>
          <w:sz w:val="20"/>
        </w:rPr>
        <w:t>patří</w:t>
      </w:r>
      <w:proofErr w:type="gramEnd"/>
      <w:r w:rsidR="00DD2480">
        <w:rPr>
          <w:rFonts w:ascii="Calibri" w:hAnsi="Calibri" w:cs="Calibri"/>
          <w:sz w:val="20"/>
        </w:rPr>
        <w:t xml:space="preserve"> její růst za poslední 4 roky mezi ty nejslabší. </w:t>
      </w:r>
      <w:r w:rsidR="00F201D6" w:rsidRPr="00FC11E3">
        <w:rPr>
          <w:rFonts w:ascii="Calibri" w:hAnsi="Calibri" w:cs="Calibri"/>
          <w:sz w:val="20"/>
        </w:rPr>
        <w:t xml:space="preserve">Prognóza očekává, že mezičtvrtletní tempo růstu </w:t>
      </w:r>
      <w:r w:rsidR="00DD2480">
        <w:rPr>
          <w:rFonts w:ascii="Calibri" w:hAnsi="Calibri" w:cs="Calibri"/>
          <w:sz w:val="20"/>
        </w:rPr>
        <w:t>v druhé polovině roku</w:t>
      </w:r>
      <w:r w:rsidR="002178D0">
        <w:rPr>
          <w:rFonts w:ascii="Calibri" w:hAnsi="Calibri" w:cs="Calibri"/>
          <w:sz w:val="20"/>
        </w:rPr>
        <w:t xml:space="preserve"> mírně</w:t>
      </w:r>
      <w:r w:rsidR="00DD2480">
        <w:rPr>
          <w:rFonts w:ascii="Calibri" w:hAnsi="Calibri" w:cs="Calibri"/>
          <w:sz w:val="20"/>
        </w:rPr>
        <w:t xml:space="preserve"> </w:t>
      </w:r>
      <w:r w:rsidR="007201F3" w:rsidRPr="00FC11E3">
        <w:rPr>
          <w:rFonts w:ascii="Calibri" w:hAnsi="Calibri" w:cs="Calibri"/>
          <w:sz w:val="20"/>
        </w:rPr>
        <w:t xml:space="preserve">rychlí </w:t>
      </w:r>
      <w:r w:rsidR="00DD2480">
        <w:rPr>
          <w:rFonts w:ascii="Calibri" w:hAnsi="Calibri" w:cs="Calibri"/>
          <w:sz w:val="20"/>
        </w:rPr>
        <w:t xml:space="preserve">a </w:t>
      </w:r>
      <w:r w:rsidR="00F201D6" w:rsidRPr="00FC11E3">
        <w:rPr>
          <w:rFonts w:ascii="Calibri" w:hAnsi="Calibri" w:cs="Calibri"/>
          <w:sz w:val="20"/>
        </w:rPr>
        <w:t xml:space="preserve">z meziročního pohledu se přehoupne přes </w:t>
      </w:r>
      <w:r w:rsidR="00DD2480">
        <w:rPr>
          <w:rFonts w:ascii="Calibri" w:hAnsi="Calibri" w:cs="Calibri"/>
          <w:sz w:val="20"/>
        </w:rPr>
        <w:t>1</w:t>
      </w:r>
      <w:r w:rsidR="00F201D6" w:rsidRPr="00FC11E3">
        <w:rPr>
          <w:rFonts w:ascii="Calibri" w:hAnsi="Calibri" w:cs="Calibri"/>
          <w:sz w:val="20"/>
        </w:rPr>
        <w:t xml:space="preserve"> %. Nadále však platí, že oživování bude relativně pomalé, a </w:t>
      </w:r>
      <w:r w:rsidR="00DD2480">
        <w:rPr>
          <w:rFonts w:ascii="Calibri" w:hAnsi="Calibri" w:cs="Calibri"/>
          <w:sz w:val="20"/>
        </w:rPr>
        <w:t xml:space="preserve">vývoj posledních týdnů přináší další rizika ve směru slabšího růstu. </w:t>
      </w:r>
      <w:r w:rsidR="00F201D6" w:rsidRPr="00FC11E3">
        <w:rPr>
          <w:rFonts w:ascii="Calibri" w:hAnsi="Calibri" w:cs="Calibri"/>
          <w:sz w:val="20"/>
        </w:rPr>
        <w:t xml:space="preserve">V roce příštím by </w:t>
      </w:r>
      <w:r w:rsidR="007201F3" w:rsidRPr="00FC11E3">
        <w:rPr>
          <w:rFonts w:ascii="Calibri" w:hAnsi="Calibri" w:cs="Calibri"/>
          <w:sz w:val="20"/>
        </w:rPr>
        <w:t xml:space="preserve">měl růst </w:t>
      </w:r>
      <w:r w:rsidR="000A2144" w:rsidRPr="00FC11E3">
        <w:rPr>
          <w:rFonts w:ascii="Calibri" w:hAnsi="Calibri" w:cs="Calibri"/>
          <w:sz w:val="20"/>
        </w:rPr>
        <w:t xml:space="preserve">HDP </w:t>
      </w:r>
      <w:r w:rsidR="007201F3" w:rsidRPr="00FC11E3">
        <w:rPr>
          <w:rFonts w:ascii="Calibri" w:hAnsi="Calibri" w:cs="Calibri"/>
          <w:sz w:val="20"/>
        </w:rPr>
        <w:t xml:space="preserve">dosáhnout 2,7 %, což </w:t>
      </w:r>
      <w:r w:rsidR="00DD2480">
        <w:rPr>
          <w:rFonts w:ascii="Calibri" w:hAnsi="Calibri" w:cs="Calibri"/>
          <w:sz w:val="20"/>
        </w:rPr>
        <w:t>bylo očekávání i květnové prognózy.</w:t>
      </w:r>
      <w:r w:rsidR="007201F3">
        <w:rPr>
          <w:rFonts w:ascii="Calibri" w:hAnsi="Calibri" w:cs="Calibri"/>
          <w:sz w:val="20"/>
        </w:rPr>
        <w:t xml:space="preserve"> </w:t>
      </w:r>
    </w:p>
    <w:p w14:paraId="3BD2EE7A" w14:textId="77777777" w:rsidR="002A2CD8" w:rsidRDefault="002A2CD8" w:rsidP="00AB39A4">
      <w:pPr>
        <w:rPr>
          <w:rFonts w:ascii="Calibri" w:hAnsi="Calibri" w:cs="Calibri"/>
          <w:sz w:val="20"/>
        </w:rPr>
      </w:pPr>
    </w:p>
    <w:p w14:paraId="036F9B5F" w14:textId="4B834EB3" w:rsidR="00092245" w:rsidRDefault="00AB342B" w:rsidP="00410C72">
      <w:pPr>
        <w:rPr>
          <w:rFonts w:ascii="Calibri" w:hAnsi="Calibri" w:cs="Calibri"/>
          <w:sz w:val="20"/>
        </w:rPr>
      </w:pPr>
      <w:r w:rsidRPr="00906FDC">
        <w:rPr>
          <w:rFonts w:ascii="Calibri" w:hAnsi="Calibri" w:cs="Calibri"/>
          <w:b/>
          <w:bCs/>
          <w:sz w:val="20"/>
        </w:rPr>
        <w:t xml:space="preserve">Prognóza </w:t>
      </w:r>
      <w:r w:rsidR="00FF1D71" w:rsidRPr="00906FDC">
        <w:rPr>
          <w:rFonts w:ascii="Calibri" w:hAnsi="Calibri" w:cs="Calibri"/>
          <w:b/>
          <w:bCs/>
          <w:sz w:val="20"/>
        </w:rPr>
        <w:t>předpokládá</w:t>
      </w:r>
      <w:r w:rsidR="00135CD7">
        <w:rPr>
          <w:rFonts w:ascii="Calibri" w:hAnsi="Calibri" w:cs="Calibri"/>
          <w:b/>
          <w:bCs/>
          <w:sz w:val="20"/>
        </w:rPr>
        <w:t>, že růst ekonomiky bude tažen zejména domácí poptávkou</w:t>
      </w:r>
      <w:r w:rsidR="002178D0">
        <w:rPr>
          <w:rFonts w:ascii="Calibri" w:hAnsi="Calibri" w:cs="Calibri"/>
          <w:b/>
          <w:bCs/>
          <w:sz w:val="20"/>
        </w:rPr>
        <w:t xml:space="preserve"> vzhledem k obnovenému růstu reálných mezd.</w:t>
      </w:r>
      <w:r w:rsidR="00135CD7">
        <w:rPr>
          <w:rFonts w:ascii="Calibri" w:hAnsi="Calibri" w:cs="Calibri"/>
          <w:b/>
          <w:bCs/>
          <w:sz w:val="20"/>
        </w:rPr>
        <w:t xml:space="preserve"> Spotřeba domácností po poklesu v předešlých dvou letech by měla začít opět růst, </w:t>
      </w:r>
      <w:r w:rsidR="002A2CD8">
        <w:rPr>
          <w:rFonts w:ascii="Calibri" w:hAnsi="Calibri" w:cs="Calibri"/>
          <w:b/>
          <w:bCs/>
          <w:sz w:val="20"/>
        </w:rPr>
        <w:t>letos</w:t>
      </w:r>
      <w:r w:rsidR="00135CD7">
        <w:rPr>
          <w:rFonts w:ascii="Calibri" w:hAnsi="Calibri" w:cs="Calibri"/>
          <w:b/>
          <w:bCs/>
          <w:sz w:val="20"/>
        </w:rPr>
        <w:t xml:space="preserve"> o 2</w:t>
      </w:r>
      <w:r w:rsidR="006C4E14">
        <w:rPr>
          <w:rFonts w:ascii="Calibri" w:hAnsi="Calibri" w:cs="Calibri"/>
          <w:b/>
          <w:bCs/>
          <w:sz w:val="20"/>
        </w:rPr>
        <w:t>,2 %</w:t>
      </w:r>
      <w:r w:rsidR="00135CD7">
        <w:rPr>
          <w:rFonts w:ascii="Calibri" w:hAnsi="Calibri" w:cs="Calibri"/>
          <w:b/>
          <w:bCs/>
          <w:sz w:val="20"/>
        </w:rPr>
        <w:t xml:space="preserve">. </w:t>
      </w:r>
      <w:r w:rsidR="00135CD7">
        <w:rPr>
          <w:rFonts w:ascii="Calibri" w:hAnsi="Calibri" w:cs="Calibri"/>
          <w:sz w:val="20"/>
        </w:rPr>
        <w:t>To je</w:t>
      </w:r>
      <w:r w:rsidR="006C4E14">
        <w:rPr>
          <w:rFonts w:ascii="Calibri" w:hAnsi="Calibri" w:cs="Calibri"/>
          <w:sz w:val="20"/>
        </w:rPr>
        <w:t xml:space="preserve"> jen nepatrně slabší</w:t>
      </w:r>
      <w:r w:rsidR="007201F3">
        <w:rPr>
          <w:rFonts w:ascii="Calibri" w:hAnsi="Calibri" w:cs="Calibri"/>
          <w:sz w:val="20"/>
        </w:rPr>
        <w:t xml:space="preserve"> dynamika</w:t>
      </w:r>
      <w:r w:rsidR="006B2CA3">
        <w:rPr>
          <w:rFonts w:ascii="Calibri" w:hAnsi="Calibri" w:cs="Calibri"/>
          <w:sz w:val="20"/>
        </w:rPr>
        <w:t>,</w:t>
      </w:r>
      <w:r w:rsidR="00135CD7">
        <w:rPr>
          <w:rFonts w:ascii="Calibri" w:hAnsi="Calibri" w:cs="Calibri"/>
          <w:sz w:val="20"/>
        </w:rPr>
        <w:t xml:space="preserve"> </w:t>
      </w:r>
      <w:r w:rsidR="006C4E14">
        <w:rPr>
          <w:rFonts w:ascii="Calibri" w:hAnsi="Calibri" w:cs="Calibri"/>
          <w:sz w:val="20"/>
        </w:rPr>
        <w:t>než</w:t>
      </w:r>
      <w:r w:rsidR="007201F3">
        <w:rPr>
          <w:rFonts w:ascii="Calibri" w:hAnsi="Calibri" w:cs="Calibri"/>
          <w:sz w:val="20"/>
        </w:rPr>
        <w:t xml:space="preserve"> </w:t>
      </w:r>
      <w:r w:rsidR="00135CD7">
        <w:rPr>
          <w:rFonts w:ascii="Calibri" w:hAnsi="Calibri" w:cs="Calibri"/>
          <w:sz w:val="20"/>
        </w:rPr>
        <w:t xml:space="preserve">očekávala předešlá prognóza, </w:t>
      </w:r>
      <w:r w:rsidR="006C4E14">
        <w:rPr>
          <w:rFonts w:ascii="Calibri" w:hAnsi="Calibri" w:cs="Calibri"/>
          <w:sz w:val="20"/>
        </w:rPr>
        <w:t>jelikož důvěra domácností se začala v posledních měsících mírně snižovat</w:t>
      </w:r>
      <w:r w:rsidR="000B1869">
        <w:rPr>
          <w:rFonts w:ascii="Calibri" w:hAnsi="Calibri" w:cs="Calibri"/>
          <w:sz w:val="20"/>
        </w:rPr>
        <w:t xml:space="preserve"> z titulu méně příznivých ekonomických vyhlídek, což může ochotu domácností utrácet mírně snížit.</w:t>
      </w:r>
      <w:r w:rsidR="006C4E14">
        <w:rPr>
          <w:rFonts w:ascii="Calibri" w:hAnsi="Calibri" w:cs="Calibri"/>
          <w:sz w:val="20"/>
        </w:rPr>
        <w:t xml:space="preserve"> Maloobchodní tržby bez automobilů však v první polovině roku meziročně vzrostly o 4,1 % a potvrdily, že spotřeba domácností bude patřit mezi hlavní složky růstu HDP. </w:t>
      </w:r>
      <w:r w:rsidR="00087711">
        <w:rPr>
          <w:rFonts w:ascii="Calibri" w:hAnsi="Calibri" w:cs="Calibri"/>
          <w:sz w:val="20"/>
        </w:rPr>
        <w:t xml:space="preserve">V příštím roce očekáváme růst </w:t>
      </w:r>
      <w:r w:rsidR="00A929EE">
        <w:rPr>
          <w:rFonts w:ascii="Calibri" w:hAnsi="Calibri" w:cs="Calibri"/>
          <w:sz w:val="20"/>
        </w:rPr>
        <w:t xml:space="preserve">spotřeby </w:t>
      </w:r>
      <w:r w:rsidR="00087711">
        <w:rPr>
          <w:rFonts w:ascii="Calibri" w:hAnsi="Calibri" w:cs="Calibri"/>
          <w:sz w:val="20"/>
        </w:rPr>
        <w:t>o 3 %</w:t>
      </w:r>
      <w:r w:rsidR="00A929EE">
        <w:rPr>
          <w:rFonts w:ascii="Calibri" w:hAnsi="Calibri" w:cs="Calibri"/>
          <w:sz w:val="20"/>
        </w:rPr>
        <w:t>,</w:t>
      </w:r>
      <w:r w:rsidR="006C4E14">
        <w:rPr>
          <w:rFonts w:ascii="Calibri" w:hAnsi="Calibri" w:cs="Calibri"/>
          <w:sz w:val="20"/>
        </w:rPr>
        <w:t xml:space="preserve"> </w:t>
      </w:r>
      <w:r w:rsidR="00A929EE" w:rsidRPr="00906FDC">
        <w:rPr>
          <w:rFonts w:ascii="Calibri" w:hAnsi="Calibri" w:cs="Calibri"/>
          <w:sz w:val="20"/>
        </w:rPr>
        <w:t xml:space="preserve">což bylo běžné </w:t>
      </w:r>
      <w:r w:rsidR="00C53807">
        <w:rPr>
          <w:rFonts w:ascii="Calibri" w:hAnsi="Calibri" w:cs="Calibri"/>
          <w:sz w:val="20"/>
        </w:rPr>
        <w:t xml:space="preserve">tempo </w:t>
      </w:r>
      <w:r w:rsidR="00A929EE" w:rsidRPr="00906FDC">
        <w:rPr>
          <w:rFonts w:ascii="Calibri" w:hAnsi="Calibri" w:cs="Calibri"/>
          <w:sz w:val="20"/>
        </w:rPr>
        <w:t>v dobách před pandemií</w:t>
      </w:r>
      <w:r w:rsidR="00A929EE">
        <w:rPr>
          <w:rFonts w:ascii="Calibri" w:hAnsi="Calibri" w:cs="Calibri"/>
          <w:sz w:val="20"/>
        </w:rPr>
        <w:t>.</w:t>
      </w:r>
      <w:r w:rsidR="00087711">
        <w:rPr>
          <w:rFonts w:ascii="Calibri" w:hAnsi="Calibri" w:cs="Calibri"/>
          <w:sz w:val="20"/>
        </w:rPr>
        <w:t xml:space="preserve"> </w:t>
      </w:r>
      <w:r w:rsidR="00135CD7">
        <w:rPr>
          <w:rFonts w:ascii="Calibri" w:hAnsi="Calibri" w:cs="Calibri"/>
          <w:sz w:val="20"/>
        </w:rPr>
        <w:t xml:space="preserve">Vládní spotřeba by měla </w:t>
      </w:r>
      <w:r w:rsidR="00087711">
        <w:rPr>
          <w:rFonts w:ascii="Calibri" w:hAnsi="Calibri" w:cs="Calibri"/>
          <w:sz w:val="20"/>
        </w:rPr>
        <w:t xml:space="preserve">letos </w:t>
      </w:r>
      <w:r w:rsidR="00135CD7">
        <w:rPr>
          <w:rFonts w:ascii="Calibri" w:hAnsi="Calibri" w:cs="Calibri"/>
          <w:sz w:val="20"/>
        </w:rPr>
        <w:t>růst</w:t>
      </w:r>
      <w:r w:rsidR="006C4E14">
        <w:rPr>
          <w:rFonts w:ascii="Calibri" w:hAnsi="Calibri" w:cs="Calibri"/>
          <w:sz w:val="20"/>
        </w:rPr>
        <w:t xml:space="preserve"> o necelá 3</w:t>
      </w:r>
      <w:r w:rsidR="000B1869">
        <w:rPr>
          <w:rFonts w:ascii="Calibri" w:hAnsi="Calibri" w:cs="Calibri"/>
          <w:sz w:val="20"/>
        </w:rPr>
        <w:t> </w:t>
      </w:r>
      <w:r w:rsidR="006C4E14">
        <w:rPr>
          <w:rFonts w:ascii="Calibri" w:hAnsi="Calibri" w:cs="Calibri"/>
          <w:sz w:val="20"/>
        </w:rPr>
        <w:t>%, zde došlo k </w:t>
      </w:r>
      <w:r w:rsidR="00334D1C">
        <w:rPr>
          <w:rFonts w:ascii="Calibri" w:hAnsi="Calibri" w:cs="Calibri"/>
          <w:sz w:val="20"/>
        </w:rPr>
        <w:t>navýšení</w:t>
      </w:r>
      <w:r w:rsidR="006C4E14">
        <w:rPr>
          <w:rFonts w:ascii="Calibri" w:hAnsi="Calibri" w:cs="Calibri"/>
          <w:sz w:val="20"/>
        </w:rPr>
        <w:t xml:space="preserve"> odhadu oproti předešlé prognóze z titulu </w:t>
      </w:r>
      <w:r w:rsidR="000B1869">
        <w:rPr>
          <w:rFonts w:ascii="Calibri" w:hAnsi="Calibri" w:cs="Calibri"/>
          <w:sz w:val="20"/>
        </w:rPr>
        <w:t xml:space="preserve">údajů za první čtvrtletí letošního roku. </w:t>
      </w:r>
      <w:r w:rsidR="00334D1C">
        <w:rPr>
          <w:rFonts w:ascii="Calibri" w:hAnsi="Calibri" w:cs="Calibri"/>
          <w:sz w:val="20"/>
        </w:rPr>
        <w:t>Investice budou letos jen stagnovat, jejich omezený růst letos bude spojen s cykl</w:t>
      </w:r>
      <w:r w:rsidR="006D0B66">
        <w:rPr>
          <w:rFonts w:ascii="Calibri" w:hAnsi="Calibri" w:cs="Calibri"/>
          <w:sz w:val="20"/>
        </w:rPr>
        <w:t>em</w:t>
      </w:r>
      <w:r w:rsidR="00334D1C">
        <w:rPr>
          <w:rFonts w:ascii="Calibri" w:hAnsi="Calibri" w:cs="Calibri"/>
          <w:sz w:val="20"/>
        </w:rPr>
        <w:t xml:space="preserve"> čerpání EU fondů</w:t>
      </w:r>
      <w:r w:rsidR="00D260F0">
        <w:rPr>
          <w:rFonts w:ascii="Calibri" w:hAnsi="Calibri" w:cs="Calibri"/>
          <w:sz w:val="20"/>
        </w:rPr>
        <w:t>, horším výhledem na ekonomiku</w:t>
      </w:r>
      <w:r w:rsidR="00334D1C">
        <w:rPr>
          <w:rFonts w:ascii="Calibri" w:hAnsi="Calibri" w:cs="Calibri"/>
          <w:sz w:val="20"/>
        </w:rPr>
        <w:t xml:space="preserve"> a také nižší ziskovostí firem. Rozptyl</w:t>
      </w:r>
      <w:r w:rsidR="009B7C12">
        <w:rPr>
          <w:rFonts w:ascii="Calibri" w:hAnsi="Calibri" w:cs="Calibri"/>
          <w:sz w:val="20"/>
        </w:rPr>
        <w:t xml:space="preserve"> odhadů </w:t>
      </w:r>
      <w:r w:rsidR="006C4E14">
        <w:rPr>
          <w:rFonts w:ascii="Calibri" w:hAnsi="Calibri" w:cs="Calibri"/>
          <w:sz w:val="20"/>
        </w:rPr>
        <w:t xml:space="preserve">investic </w:t>
      </w:r>
      <w:r w:rsidR="009B7C12">
        <w:rPr>
          <w:rFonts w:ascii="Calibri" w:hAnsi="Calibri" w:cs="Calibri"/>
          <w:sz w:val="20"/>
        </w:rPr>
        <w:t xml:space="preserve">jednotlivých prognóz </w:t>
      </w:r>
      <w:r w:rsidR="00334D1C">
        <w:rPr>
          <w:rFonts w:ascii="Calibri" w:hAnsi="Calibri" w:cs="Calibri"/>
          <w:sz w:val="20"/>
        </w:rPr>
        <w:t>zůstává</w:t>
      </w:r>
      <w:r w:rsidR="009B7C12">
        <w:rPr>
          <w:rFonts w:ascii="Calibri" w:hAnsi="Calibri" w:cs="Calibri"/>
          <w:sz w:val="20"/>
        </w:rPr>
        <w:t xml:space="preserve"> však pro letošní rok výrazný. To souvisí </w:t>
      </w:r>
      <w:r w:rsidR="00C53807">
        <w:rPr>
          <w:rFonts w:ascii="Calibri" w:hAnsi="Calibri" w:cs="Calibri"/>
          <w:sz w:val="20"/>
        </w:rPr>
        <w:t xml:space="preserve">například i </w:t>
      </w:r>
      <w:r w:rsidR="009B7C12">
        <w:rPr>
          <w:rFonts w:ascii="Calibri" w:hAnsi="Calibri" w:cs="Calibri"/>
          <w:sz w:val="20"/>
        </w:rPr>
        <w:t>s nejistotou ohledně rozjezdu investic realitního sektoru, kter</w:t>
      </w:r>
      <w:r w:rsidR="00C53807">
        <w:rPr>
          <w:rFonts w:ascii="Calibri" w:hAnsi="Calibri" w:cs="Calibri"/>
          <w:sz w:val="20"/>
        </w:rPr>
        <w:t>é</w:t>
      </w:r>
      <w:r w:rsidR="009B7C12">
        <w:rPr>
          <w:rFonts w:ascii="Calibri" w:hAnsi="Calibri" w:cs="Calibri"/>
          <w:sz w:val="20"/>
        </w:rPr>
        <w:t xml:space="preserve"> byl</w:t>
      </w:r>
      <w:r w:rsidR="00C53807">
        <w:rPr>
          <w:rFonts w:ascii="Calibri" w:hAnsi="Calibri" w:cs="Calibri"/>
          <w:sz w:val="20"/>
        </w:rPr>
        <w:t>y</w:t>
      </w:r>
      <w:r w:rsidR="009B7C12">
        <w:rPr>
          <w:rFonts w:ascii="Calibri" w:hAnsi="Calibri" w:cs="Calibri"/>
          <w:sz w:val="20"/>
        </w:rPr>
        <w:t xml:space="preserve"> v posledních letech v</w:t>
      </w:r>
      <w:r w:rsidR="00C53807">
        <w:rPr>
          <w:rFonts w:ascii="Calibri" w:hAnsi="Calibri" w:cs="Calibri"/>
          <w:sz w:val="20"/>
        </w:rPr>
        <w:t> </w:t>
      </w:r>
      <w:r w:rsidR="009B7C12">
        <w:rPr>
          <w:rFonts w:ascii="Calibri" w:hAnsi="Calibri" w:cs="Calibri"/>
          <w:sz w:val="20"/>
        </w:rPr>
        <w:t>útlumu</w:t>
      </w:r>
      <w:r w:rsidR="00C53807">
        <w:rPr>
          <w:rFonts w:ascii="Calibri" w:hAnsi="Calibri" w:cs="Calibri"/>
          <w:sz w:val="20"/>
        </w:rPr>
        <w:t xml:space="preserve"> z </w:t>
      </w:r>
      <w:r w:rsidR="00E90D21">
        <w:rPr>
          <w:rFonts w:ascii="Calibri" w:hAnsi="Calibri" w:cs="Calibri"/>
          <w:sz w:val="20"/>
        </w:rPr>
        <w:t>důvodu</w:t>
      </w:r>
      <w:r w:rsidR="00C53807">
        <w:rPr>
          <w:rFonts w:ascii="Calibri" w:hAnsi="Calibri" w:cs="Calibri"/>
          <w:sz w:val="20"/>
        </w:rPr>
        <w:t xml:space="preserve"> vysokých úrokových sazeb</w:t>
      </w:r>
      <w:r w:rsidR="009B7C12">
        <w:rPr>
          <w:rFonts w:ascii="Calibri" w:hAnsi="Calibri" w:cs="Calibri"/>
          <w:sz w:val="20"/>
        </w:rPr>
        <w:t xml:space="preserve">. </w:t>
      </w:r>
      <w:r w:rsidR="003B48EF" w:rsidRPr="00906FDC">
        <w:rPr>
          <w:rFonts w:ascii="Calibri" w:hAnsi="Calibri" w:cs="Calibri"/>
          <w:sz w:val="20"/>
        </w:rPr>
        <w:t>Významnou</w:t>
      </w:r>
      <w:r w:rsidR="00194F73" w:rsidRPr="00906FDC">
        <w:rPr>
          <w:rFonts w:ascii="Calibri" w:hAnsi="Calibri" w:cs="Calibri"/>
          <w:sz w:val="20"/>
        </w:rPr>
        <w:t xml:space="preserve"> nejistotu bude </w:t>
      </w:r>
      <w:r w:rsidR="003B48EF" w:rsidRPr="00906FDC">
        <w:rPr>
          <w:rFonts w:ascii="Calibri" w:hAnsi="Calibri" w:cs="Calibri"/>
          <w:sz w:val="20"/>
        </w:rPr>
        <w:t xml:space="preserve">představovat v posledním období rozkolísaný </w:t>
      </w:r>
      <w:r w:rsidR="00194F73" w:rsidRPr="00906FDC">
        <w:rPr>
          <w:rFonts w:ascii="Calibri" w:hAnsi="Calibri" w:cs="Calibri"/>
          <w:sz w:val="20"/>
        </w:rPr>
        <w:t>vývoj zásob</w:t>
      </w:r>
      <w:r w:rsidR="002C1004">
        <w:rPr>
          <w:rFonts w:ascii="Calibri" w:hAnsi="Calibri" w:cs="Calibri"/>
          <w:sz w:val="20"/>
        </w:rPr>
        <w:t xml:space="preserve">, který by měl letos růst tlumit z titulu </w:t>
      </w:r>
      <w:r w:rsidR="00C53807">
        <w:rPr>
          <w:rFonts w:ascii="Calibri" w:hAnsi="Calibri" w:cs="Calibri"/>
          <w:sz w:val="20"/>
        </w:rPr>
        <w:t xml:space="preserve">rozpouštění </w:t>
      </w:r>
      <w:r w:rsidR="002C1004">
        <w:rPr>
          <w:rFonts w:ascii="Calibri" w:hAnsi="Calibri" w:cs="Calibri"/>
          <w:sz w:val="20"/>
        </w:rPr>
        <w:t>dříve</w:t>
      </w:r>
      <w:r w:rsidR="009B7C12">
        <w:rPr>
          <w:rFonts w:ascii="Calibri" w:hAnsi="Calibri" w:cs="Calibri"/>
          <w:sz w:val="20"/>
        </w:rPr>
        <w:t xml:space="preserve"> </w:t>
      </w:r>
      <w:r w:rsidR="00C53807">
        <w:rPr>
          <w:rFonts w:ascii="Calibri" w:hAnsi="Calibri" w:cs="Calibri"/>
          <w:sz w:val="20"/>
        </w:rPr>
        <w:t>vytvořených</w:t>
      </w:r>
      <w:r w:rsidR="009B7C12">
        <w:rPr>
          <w:rFonts w:ascii="Calibri" w:hAnsi="Calibri" w:cs="Calibri"/>
          <w:sz w:val="20"/>
        </w:rPr>
        <w:t xml:space="preserve"> </w:t>
      </w:r>
      <w:r w:rsidR="002C1004">
        <w:rPr>
          <w:rFonts w:ascii="Calibri" w:hAnsi="Calibri" w:cs="Calibri"/>
          <w:sz w:val="20"/>
        </w:rPr>
        <w:t xml:space="preserve">zásob. </w:t>
      </w:r>
      <w:r w:rsidR="006C4E14">
        <w:rPr>
          <w:rFonts w:ascii="Calibri" w:hAnsi="Calibri" w:cs="Calibri"/>
          <w:sz w:val="20"/>
        </w:rPr>
        <w:t>Vývoj zahraniční poptávky nepotvrdil očekávání robustnějšího oživení</w:t>
      </w:r>
      <w:r w:rsidR="00334D1C">
        <w:rPr>
          <w:rFonts w:ascii="Calibri" w:hAnsi="Calibri" w:cs="Calibri"/>
          <w:sz w:val="20"/>
        </w:rPr>
        <w:t xml:space="preserve"> z poslední prognózy, i</w:t>
      </w:r>
      <w:r w:rsidR="006C4E14">
        <w:rPr>
          <w:rFonts w:ascii="Calibri" w:hAnsi="Calibri" w:cs="Calibri"/>
          <w:sz w:val="20"/>
        </w:rPr>
        <w:t xml:space="preserve"> proto se vývoz pro letošní rok revidoval směrem ke slabšímu růstu.</w:t>
      </w:r>
      <w:r w:rsidR="008F621B">
        <w:rPr>
          <w:rFonts w:ascii="Calibri" w:hAnsi="Calibri" w:cs="Calibri"/>
          <w:sz w:val="20"/>
        </w:rPr>
        <w:t xml:space="preserve"> I přes pozitivní vývoj v první </w:t>
      </w:r>
      <w:r w:rsidR="006C4E14">
        <w:rPr>
          <w:rFonts w:ascii="Calibri" w:hAnsi="Calibri" w:cs="Calibri"/>
          <w:sz w:val="20"/>
        </w:rPr>
        <w:t xml:space="preserve">polovině letošního roku z pohledu rekordního počtu vyrobených automobilů platí, že </w:t>
      </w:r>
      <w:r w:rsidR="008F621B">
        <w:rPr>
          <w:rFonts w:ascii="Calibri" w:hAnsi="Calibri" w:cs="Calibri"/>
          <w:sz w:val="20"/>
        </w:rPr>
        <w:t xml:space="preserve">silný příspěvek automobilového sektoru k růstu </w:t>
      </w:r>
      <w:r w:rsidR="00334D1C">
        <w:rPr>
          <w:rFonts w:ascii="Calibri" w:hAnsi="Calibri" w:cs="Calibri"/>
          <w:sz w:val="20"/>
        </w:rPr>
        <w:t xml:space="preserve">ekonomiky a </w:t>
      </w:r>
      <w:r w:rsidR="008F621B">
        <w:rPr>
          <w:rFonts w:ascii="Calibri" w:hAnsi="Calibri" w:cs="Calibri"/>
          <w:sz w:val="20"/>
        </w:rPr>
        <w:t>vývozu</w:t>
      </w:r>
      <w:r w:rsidR="00334D1C">
        <w:rPr>
          <w:rFonts w:ascii="Calibri" w:hAnsi="Calibri" w:cs="Calibri"/>
          <w:sz w:val="20"/>
        </w:rPr>
        <w:t xml:space="preserve"> nebude možné</w:t>
      </w:r>
      <w:r w:rsidR="008F621B">
        <w:rPr>
          <w:rFonts w:ascii="Calibri" w:hAnsi="Calibri" w:cs="Calibri"/>
          <w:sz w:val="20"/>
        </w:rPr>
        <w:t xml:space="preserve"> v l</w:t>
      </w:r>
      <w:r w:rsidR="00582D22">
        <w:rPr>
          <w:rFonts w:ascii="Calibri" w:hAnsi="Calibri" w:cs="Calibri"/>
          <w:sz w:val="20"/>
        </w:rPr>
        <w:t>etošním</w:t>
      </w:r>
      <w:r w:rsidR="008F621B">
        <w:rPr>
          <w:rFonts w:ascii="Calibri" w:hAnsi="Calibri" w:cs="Calibri"/>
          <w:sz w:val="20"/>
        </w:rPr>
        <w:t xml:space="preserve"> roce zopakovat</w:t>
      </w:r>
      <w:r w:rsidR="00334D1C">
        <w:rPr>
          <w:rFonts w:ascii="Calibri" w:hAnsi="Calibri" w:cs="Calibri"/>
          <w:sz w:val="20"/>
        </w:rPr>
        <w:t>, pr</w:t>
      </w:r>
      <w:r w:rsidR="0061416D">
        <w:rPr>
          <w:rFonts w:ascii="Calibri" w:hAnsi="Calibri" w:cs="Calibri"/>
          <w:sz w:val="20"/>
        </w:rPr>
        <w:t>ů</w:t>
      </w:r>
      <w:r w:rsidR="00334D1C">
        <w:rPr>
          <w:rFonts w:ascii="Calibri" w:hAnsi="Calibri" w:cs="Calibri"/>
          <w:sz w:val="20"/>
        </w:rPr>
        <w:t xml:space="preserve">myslová produkce v první polovině roku poklesla meziročně o 1,6 %, výroba automobilů pak o 1,8 %. </w:t>
      </w:r>
    </w:p>
    <w:p w14:paraId="65A54C45" w14:textId="158BFC9E" w:rsidR="002B1A4A" w:rsidRPr="002C1004" w:rsidRDefault="00C900FE" w:rsidP="00635DD9">
      <w:pPr>
        <w:spacing w:before="80"/>
        <w:rPr>
          <w:rFonts w:ascii="Calibri" w:hAnsi="Calibri" w:cs="Calibri"/>
          <w:b/>
          <w:color w:val="13576B"/>
          <w:sz w:val="22"/>
          <w:szCs w:val="22"/>
        </w:rPr>
      </w:pPr>
      <w:r w:rsidRPr="002C1004">
        <w:rPr>
          <w:rFonts w:ascii="Calibri" w:hAnsi="Calibri" w:cs="Calibri"/>
          <w:b/>
          <w:color w:val="13576B"/>
          <w:sz w:val="22"/>
          <w:szCs w:val="22"/>
        </w:rPr>
        <w:t xml:space="preserve">Trh práce </w:t>
      </w:r>
      <w:r w:rsidR="00504A5F">
        <w:rPr>
          <w:rFonts w:ascii="Calibri" w:hAnsi="Calibri" w:cs="Calibri"/>
          <w:b/>
          <w:color w:val="13576B"/>
          <w:sz w:val="22"/>
          <w:szCs w:val="22"/>
        </w:rPr>
        <w:t xml:space="preserve">začíná mírně ochlazovat, </w:t>
      </w:r>
      <w:r w:rsidRPr="002C1004">
        <w:rPr>
          <w:rFonts w:ascii="Calibri" w:hAnsi="Calibri" w:cs="Calibri"/>
          <w:b/>
          <w:color w:val="13576B"/>
          <w:sz w:val="22"/>
          <w:szCs w:val="22"/>
        </w:rPr>
        <w:t xml:space="preserve">podíl nezaměstnaných osob se </w:t>
      </w:r>
      <w:r w:rsidR="00504A5F">
        <w:rPr>
          <w:rFonts w:ascii="Calibri" w:hAnsi="Calibri" w:cs="Calibri"/>
          <w:b/>
          <w:color w:val="13576B"/>
          <w:sz w:val="22"/>
          <w:szCs w:val="22"/>
        </w:rPr>
        <w:t xml:space="preserve">však </w:t>
      </w:r>
      <w:r w:rsidRPr="002C1004">
        <w:rPr>
          <w:rFonts w:ascii="Calibri" w:hAnsi="Calibri" w:cs="Calibri"/>
          <w:b/>
          <w:color w:val="13576B"/>
          <w:sz w:val="22"/>
          <w:szCs w:val="22"/>
        </w:rPr>
        <w:t>letos</w:t>
      </w:r>
      <w:r w:rsidR="0070077F" w:rsidRPr="002C1004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proofErr w:type="gramStart"/>
      <w:r w:rsidR="0070077F" w:rsidRPr="002C1004">
        <w:rPr>
          <w:rFonts w:ascii="Calibri" w:hAnsi="Calibri" w:cs="Calibri"/>
          <w:b/>
          <w:color w:val="13576B"/>
          <w:sz w:val="22"/>
          <w:szCs w:val="22"/>
        </w:rPr>
        <w:t>zvýší</w:t>
      </w:r>
      <w:proofErr w:type="gramEnd"/>
      <w:r w:rsidRPr="002C1004">
        <w:rPr>
          <w:rFonts w:ascii="Calibri" w:hAnsi="Calibri" w:cs="Calibri"/>
          <w:b/>
          <w:color w:val="13576B"/>
          <w:sz w:val="22"/>
          <w:szCs w:val="22"/>
        </w:rPr>
        <w:t xml:space="preserve"> jen </w:t>
      </w:r>
      <w:r w:rsidR="00504A5F">
        <w:rPr>
          <w:rFonts w:ascii="Calibri" w:hAnsi="Calibri" w:cs="Calibri"/>
          <w:b/>
          <w:color w:val="13576B"/>
          <w:sz w:val="22"/>
          <w:szCs w:val="22"/>
        </w:rPr>
        <w:t>mírně</w:t>
      </w:r>
    </w:p>
    <w:p w14:paraId="7E15E8ED" w14:textId="0C8F0246" w:rsidR="00CA69A8" w:rsidRDefault="009A7905" w:rsidP="00B4285D">
      <w:pPr>
        <w:rPr>
          <w:rFonts w:ascii="Calibri" w:hAnsi="Calibri" w:cs="Calibri"/>
          <w:sz w:val="20"/>
        </w:rPr>
      </w:pPr>
      <w:r w:rsidRPr="002C1004">
        <w:rPr>
          <w:rFonts w:ascii="Calibri" w:hAnsi="Calibri" w:cs="Calibri"/>
          <w:sz w:val="20"/>
        </w:rPr>
        <w:t xml:space="preserve">Tuzemský trh </w:t>
      </w:r>
      <w:r w:rsidR="00B20BCD" w:rsidRPr="002C1004">
        <w:rPr>
          <w:rFonts w:ascii="Calibri" w:hAnsi="Calibri" w:cs="Calibri"/>
          <w:sz w:val="20"/>
        </w:rPr>
        <w:t xml:space="preserve">práce </w:t>
      </w:r>
      <w:r w:rsidRPr="002C1004">
        <w:rPr>
          <w:rFonts w:ascii="Calibri" w:hAnsi="Calibri" w:cs="Calibri"/>
          <w:sz w:val="20"/>
        </w:rPr>
        <w:t xml:space="preserve">zůstává </w:t>
      </w:r>
      <w:r w:rsidR="00B20BCD" w:rsidRPr="002C1004">
        <w:rPr>
          <w:rFonts w:ascii="Calibri" w:hAnsi="Calibri" w:cs="Calibri"/>
          <w:sz w:val="20"/>
        </w:rPr>
        <w:t xml:space="preserve">nadále </w:t>
      </w:r>
      <w:r w:rsidR="00504A5F">
        <w:rPr>
          <w:rFonts w:ascii="Calibri" w:hAnsi="Calibri" w:cs="Calibri"/>
          <w:sz w:val="20"/>
        </w:rPr>
        <w:t xml:space="preserve">v kontextu ekonomického vývoje </w:t>
      </w:r>
      <w:r w:rsidR="007366FE" w:rsidRPr="002C1004">
        <w:rPr>
          <w:rFonts w:ascii="Calibri" w:hAnsi="Calibri" w:cs="Calibri"/>
          <w:sz w:val="20"/>
        </w:rPr>
        <w:t xml:space="preserve">v dobré kondici a </w:t>
      </w:r>
      <w:r w:rsidR="00B20BCD" w:rsidRPr="002C1004">
        <w:rPr>
          <w:rFonts w:ascii="Calibri" w:hAnsi="Calibri" w:cs="Calibri"/>
          <w:sz w:val="20"/>
        </w:rPr>
        <w:t xml:space="preserve">míra nezaměstnanosti </w:t>
      </w:r>
      <w:r w:rsidRPr="002C1004">
        <w:rPr>
          <w:rFonts w:ascii="Calibri" w:hAnsi="Calibri" w:cs="Calibri"/>
          <w:sz w:val="20"/>
        </w:rPr>
        <w:t xml:space="preserve">je </w:t>
      </w:r>
      <w:r w:rsidR="00B20BCD" w:rsidRPr="002C1004">
        <w:rPr>
          <w:rFonts w:ascii="Calibri" w:hAnsi="Calibri" w:cs="Calibri"/>
          <w:sz w:val="20"/>
        </w:rPr>
        <w:t xml:space="preserve">nejnižší v zemích EU. </w:t>
      </w:r>
      <w:r w:rsidRPr="002C1004">
        <w:rPr>
          <w:rFonts w:ascii="Calibri" w:hAnsi="Calibri" w:cs="Calibri"/>
          <w:sz w:val="20"/>
        </w:rPr>
        <w:t>Celkový podíl nezaměstnaných osob v roce 202</w:t>
      </w:r>
      <w:r w:rsidR="003B48EF" w:rsidRPr="002C1004">
        <w:rPr>
          <w:rFonts w:ascii="Calibri" w:hAnsi="Calibri" w:cs="Calibri"/>
          <w:sz w:val="20"/>
        </w:rPr>
        <w:t>3 dosáh</w:t>
      </w:r>
      <w:r w:rsidR="00CE5236" w:rsidRPr="002C1004">
        <w:rPr>
          <w:rFonts w:ascii="Calibri" w:hAnsi="Calibri" w:cs="Calibri"/>
          <w:sz w:val="20"/>
        </w:rPr>
        <w:t>l</w:t>
      </w:r>
      <w:r w:rsidR="003B48EF" w:rsidRPr="002C1004">
        <w:rPr>
          <w:rFonts w:ascii="Calibri" w:hAnsi="Calibri" w:cs="Calibri"/>
          <w:sz w:val="20"/>
        </w:rPr>
        <w:t xml:space="preserve"> 3,6 %</w:t>
      </w:r>
      <w:r w:rsidR="00CE5236" w:rsidRPr="002C1004">
        <w:rPr>
          <w:rFonts w:ascii="Calibri" w:hAnsi="Calibri" w:cs="Calibri"/>
          <w:sz w:val="20"/>
        </w:rPr>
        <w:t xml:space="preserve"> a v letošním roce se očekává jen nepatrný růst </w:t>
      </w:r>
      <w:r w:rsidR="00C74E3F" w:rsidRPr="002C1004">
        <w:rPr>
          <w:rFonts w:ascii="Calibri" w:hAnsi="Calibri" w:cs="Calibri"/>
          <w:sz w:val="20"/>
        </w:rPr>
        <w:t>na 3,8 %</w:t>
      </w:r>
      <w:r w:rsidR="005E6125">
        <w:rPr>
          <w:rFonts w:ascii="Calibri" w:hAnsi="Calibri" w:cs="Calibri"/>
          <w:sz w:val="20"/>
        </w:rPr>
        <w:t>.</w:t>
      </w:r>
      <w:r w:rsidR="00C74E3F" w:rsidRPr="002C1004">
        <w:rPr>
          <w:rFonts w:ascii="Calibri" w:hAnsi="Calibri" w:cs="Calibri"/>
          <w:sz w:val="20"/>
        </w:rPr>
        <w:t xml:space="preserve"> To je však stále nižší hodnota, než </w:t>
      </w:r>
      <w:r w:rsidR="00676F20" w:rsidRPr="002C1004">
        <w:rPr>
          <w:rFonts w:ascii="Calibri" w:hAnsi="Calibri" w:cs="Calibri"/>
          <w:sz w:val="20"/>
        </w:rPr>
        <w:t xml:space="preserve">jsme pozorovali </w:t>
      </w:r>
      <w:r w:rsidR="00C74E3F" w:rsidRPr="002C1004">
        <w:rPr>
          <w:rFonts w:ascii="Calibri" w:hAnsi="Calibri" w:cs="Calibri"/>
          <w:sz w:val="20"/>
        </w:rPr>
        <w:t xml:space="preserve">v roce 2017, kdy již tuzemský trh práce začal čelit známkám přehřívání. </w:t>
      </w:r>
      <w:r w:rsidR="005E6125" w:rsidRPr="005E6125">
        <w:rPr>
          <w:rFonts w:ascii="Calibri" w:hAnsi="Calibri" w:cs="Calibri"/>
          <w:sz w:val="20"/>
        </w:rPr>
        <w:t>Tuzemský trh práce je sice nadále ve stavu, kdy řada zaměstnavatelů má problém najít vhodné zaměstnance, určité známky ochlazování v</w:t>
      </w:r>
      <w:r w:rsidR="00C53807">
        <w:rPr>
          <w:rFonts w:ascii="Calibri" w:hAnsi="Calibri" w:cs="Calibri"/>
          <w:sz w:val="20"/>
        </w:rPr>
        <w:t> </w:t>
      </w:r>
      <w:r w:rsidR="005E6125" w:rsidRPr="005E6125">
        <w:rPr>
          <w:rFonts w:ascii="Calibri" w:hAnsi="Calibri" w:cs="Calibri"/>
          <w:sz w:val="20"/>
        </w:rPr>
        <w:t>posledních</w:t>
      </w:r>
      <w:r w:rsidR="00C53807">
        <w:rPr>
          <w:rFonts w:ascii="Calibri" w:hAnsi="Calibri" w:cs="Calibri"/>
          <w:sz w:val="20"/>
        </w:rPr>
        <w:t xml:space="preserve"> </w:t>
      </w:r>
      <w:r w:rsidR="002D48F8">
        <w:rPr>
          <w:rFonts w:ascii="Calibri" w:hAnsi="Calibri" w:cs="Calibri"/>
          <w:sz w:val="20"/>
        </w:rPr>
        <w:t>několika</w:t>
      </w:r>
      <w:r w:rsidR="005E6125" w:rsidRPr="005E6125">
        <w:rPr>
          <w:rFonts w:ascii="Calibri" w:hAnsi="Calibri" w:cs="Calibri"/>
          <w:sz w:val="20"/>
        </w:rPr>
        <w:t xml:space="preserve"> čtvrtletích však patrné j</w:t>
      </w:r>
      <w:r w:rsidR="00796120">
        <w:rPr>
          <w:rFonts w:ascii="Calibri" w:hAnsi="Calibri" w:cs="Calibri"/>
          <w:sz w:val="20"/>
        </w:rPr>
        <w:t>sou</w:t>
      </w:r>
      <w:r w:rsidR="002D48F8">
        <w:rPr>
          <w:rFonts w:ascii="Calibri" w:hAnsi="Calibri" w:cs="Calibri"/>
          <w:sz w:val="20"/>
        </w:rPr>
        <w:t xml:space="preserve"> a obecná míra nezaměstnanosti se v první polovině roku nacházela v průměru na úrovni 2,9 %, tj. 0,3 p.</w:t>
      </w:r>
      <w:r w:rsidR="00C9766A">
        <w:rPr>
          <w:rFonts w:ascii="Calibri" w:hAnsi="Calibri" w:cs="Calibri"/>
          <w:sz w:val="20"/>
        </w:rPr>
        <w:t xml:space="preserve"> </w:t>
      </w:r>
      <w:r w:rsidR="002D48F8">
        <w:rPr>
          <w:rFonts w:ascii="Calibri" w:hAnsi="Calibri" w:cs="Calibri"/>
          <w:sz w:val="20"/>
        </w:rPr>
        <w:t>b. nad úrovní téhož období minulého roku.</w:t>
      </w:r>
    </w:p>
    <w:p w14:paraId="72895A9E" w14:textId="51C5995C" w:rsidR="00CA69A8" w:rsidRDefault="00CA69A8" w:rsidP="00B4285D">
      <w:pPr>
        <w:rPr>
          <w:rFonts w:ascii="Calibri" w:hAnsi="Calibri" w:cs="Calibri"/>
          <w:sz w:val="20"/>
        </w:rPr>
      </w:pPr>
    </w:p>
    <w:p w14:paraId="1091B578" w14:textId="7BB430E3" w:rsidR="00D30A6F" w:rsidRDefault="00774F0B" w:rsidP="00B4285D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N</w:t>
      </w:r>
      <w:r w:rsidR="0065523B">
        <w:rPr>
          <w:rFonts w:ascii="Calibri" w:hAnsi="Calibri" w:cs="Calibri"/>
          <w:b/>
          <w:bCs/>
          <w:sz w:val="20"/>
        </w:rPr>
        <w:t xml:space="preserve">ominální </w:t>
      </w:r>
      <w:r w:rsidR="00D27F2C">
        <w:rPr>
          <w:rFonts w:ascii="Calibri" w:hAnsi="Calibri" w:cs="Calibri"/>
          <w:b/>
          <w:bCs/>
          <w:sz w:val="20"/>
        </w:rPr>
        <w:t>průměrn</w:t>
      </w:r>
      <w:r>
        <w:rPr>
          <w:rFonts w:ascii="Calibri" w:hAnsi="Calibri" w:cs="Calibri"/>
          <w:b/>
          <w:bCs/>
          <w:sz w:val="20"/>
        </w:rPr>
        <w:t>á</w:t>
      </w:r>
      <w:r w:rsidR="00D27F2C">
        <w:rPr>
          <w:rFonts w:ascii="Calibri" w:hAnsi="Calibri" w:cs="Calibri"/>
          <w:b/>
          <w:bCs/>
          <w:sz w:val="20"/>
        </w:rPr>
        <w:t xml:space="preserve"> mzd</w:t>
      </w:r>
      <w:r>
        <w:rPr>
          <w:rFonts w:ascii="Calibri" w:hAnsi="Calibri" w:cs="Calibri"/>
          <w:b/>
          <w:bCs/>
          <w:sz w:val="20"/>
        </w:rPr>
        <w:t>a</w:t>
      </w:r>
      <w:r w:rsidR="00D27F2C">
        <w:rPr>
          <w:rFonts w:ascii="Calibri" w:hAnsi="Calibri" w:cs="Calibri"/>
          <w:b/>
          <w:bCs/>
          <w:sz w:val="20"/>
        </w:rPr>
        <w:t xml:space="preserve"> </w:t>
      </w:r>
      <w:r w:rsidR="00912FA3">
        <w:rPr>
          <w:rFonts w:ascii="Calibri" w:hAnsi="Calibri" w:cs="Calibri"/>
          <w:b/>
          <w:bCs/>
          <w:sz w:val="20"/>
        </w:rPr>
        <w:t xml:space="preserve">letos </w:t>
      </w:r>
      <w:r>
        <w:rPr>
          <w:rFonts w:ascii="Calibri" w:hAnsi="Calibri" w:cs="Calibri"/>
          <w:b/>
          <w:bCs/>
          <w:sz w:val="20"/>
        </w:rPr>
        <w:t xml:space="preserve">vzroste o </w:t>
      </w:r>
      <w:r w:rsidR="00CE5236">
        <w:rPr>
          <w:rFonts w:ascii="Calibri" w:hAnsi="Calibri" w:cs="Calibri"/>
          <w:b/>
          <w:bCs/>
          <w:sz w:val="20"/>
        </w:rPr>
        <w:t>6</w:t>
      </w:r>
      <w:r w:rsidR="002D48F8">
        <w:rPr>
          <w:rFonts w:ascii="Calibri" w:hAnsi="Calibri" w:cs="Calibri"/>
          <w:b/>
          <w:bCs/>
          <w:sz w:val="20"/>
        </w:rPr>
        <w:t>,8</w:t>
      </w:r>
      <w:r>
        <w:rPr>
          <w:rFonts w:ascii="Calibri" w:hAnsi="Calibri" w:cs="Calibri"/>
          <w:b/>
          <w:bCs/>
          <w:sz w:val="20"/>
        </w:rPr>
        <w:t xml:space="preserve"> </w:t>
      </w:r>
      <w:r w:rsidR="00870714">
        <w:rPr>
          <w:rFonts w:ascii="Calibri" w:hAnsi="Calibri" w:cs="Calibri"/>
          <w:b/>
          <w:bCs/>
          <w:sz w:val="20"/>
        </w:rPr>
        <w:t>%</w:t>
      </w:r>
      <w:r w:rsidR="00D95BCC">
        <w:rPr>
          <w:rFonts w:ascii="Calibri" w:hAnsi="Calibri" w:cs="Calibri"/>
          <w:b/>
          <w:bCs/>
          <w:sz w:val="20"/>
        </w:rPr>
        <w:t>,</w:t>
      </w:r>
      <w:r w:rsidR="00870714">
        <w:rPr>
          <w:rFonts w:ascii="Calibri" w:hAnsi="Calibri" w:cs="Calibri"/>
          <w:b/>
          <w:bCs/>
          <w:sz w:val="20"/>
        </w:rPr>
        <w:t xml:space="preserve"> </w:t>
      </w:r>
      <w:r w:rsidR="00D95BCC">
        <w:rPr>
          <w:rFonts w:ascii="Calibri" w:hAnsi="Calibri" w:cs="Calibri"/>
          <w:b/>
          <w:bCs/>
          <w:sz w:val="20"/>
        </w:rPr>
        <w:t>v</w:t>
      </w:r>
      <w:r w:rsidR="00870714">
        <w:rPr>
          <w:rFonts w:ascii="Calibri" w:hAnsi="Calibri" w:cs="Calibri"/>
          <w:b/>
          <w:bCs/>
          <w:sz w:val="20"/>
        </w:rPr>
        <w:t> příštím roce by pak měla dynamika dosáhnout 5 %.</w:t>
      </w:r>
      <w:r w:rsidR="00C73A76">
        <w:rPr>
          <w:rFonts w:ascii="Calibri" w:hAnsi="Calibri" w:cs="Calibri"/>
          <w:b/>
          <w:bCs/>
          <w:sz w:val="20"/>
        </w:rPr>
        <w:t xml:space="preserve"> </w:t>
      </w:r>
      <w:r w:rsidR="00C73A76">
        <w:rPr>
          <w:rFonts w:ascii="Calibri" w:hAnsi="Calibri" w:cs="Calibri"/>
          <w:sz w:val="20"/>
        </w:rPr>
        <w:t>Růst mezd byl pro letošní rok revidován mírně nahoru, a to na základě příznivějšího vývoje za 1. čtvrtletí a také</w:t>
      </w:r>
      <w:r w:rsidR="00C96511">
        <w:rPr>
          <w:rFonts w:ascii="Calibri" w:hAnsi="Calibri" w:cs="Calibri"/>
          <w:sz w:val="20"/>
        </w:rPr>
        <w:t xml:space="preserve"> z důvodu </w:t>
      </w:r>
      <w:r w:rsidR="00C73A76">
        <w:rPr>
          <w:rFonts w:ascii="Calibri" w:hAnsi="Calibri" w:cs="Calibri"/>
          <w:sz w:val="20"/>
        </w:rPr>
        <w:t xml:space="preserve">revize čísel za celý rok 2023. </w:t>
      </w:r>
      <w:r w:rsidR="00C96511">
        <w:rPr>
          <w:rFonts w:ascii="Calibri" w:hAnsi="Calibri" w:cs="Calibri"/>
          <w:sz w:val="20"/>
        </w:rPr>
        <w:t xml:space="preserve">Růst nominálních mezd dosáhl v loňském roce 8 %, což </w:t>
      </w:r>
      <w:proofErr w:type="gramStart"/>
      <w:r w:rsidR="00C96511">
        <w:rPr>
          <w:rFonts w:ascii="Calibri" w:hAnsi="Calibri" w:cs="Calibri"/>
          <w:sz w:val="20"/>
        </w:rPr>
        <w:t>patří</w:t>
      </w:r>
      <w:proofErr w:type="gramEnd"/>
      <w:r w:rsidR="00C96511">
        <w:rPr>
          <w:rFonts w:ascii="Calibri" w:hAnsi="Calibri" w:cs="Calibri"/>
          <w:sz w:val="20"/>
        </w:rPr>
        <w:t xml:space="preserve"> mezi ty nejvyšší meziroční růst</w:t>
      </w:r>
      <w:r w:rsidR="002A2CD8">
        <w:rPr>
          <w:rFonts w:ascii="Calibri" w:hAnsi="Calibri" w:cs="Calibri"/>
          <w:sz w:val="20"/>
        </w:rPr>
        <w:t>y</w:t>
      </w:r>
      <w:r w:rsidR="00C96511">
        <w:rPr>
          <w:rFonts w:ascii="Calibri" w:hAnsi="Calibri" w:cs="Calibri"/>
          <w:sz w:val="20"/>
        </w:rPr>
        <w:t xml:space="preserve"> v posledních dvou dekádách. Ve srovnání s vývojem nominálních mezd ve středoevropském regionu však vývoj mezd v ČR zaostává, a to nejen v posledních letech</w:t>
      </w:r>
      <w:r w:rsidR="000A7993">
        <w:rPr>
          <w:rFonts w:ascii="Calibri" w:hAnsi="Calibri" w:cs="Calibri"/>
          <w:sz w:val="20"/>
        </w:rPr>
        <w:t xml:space="preserve"> od propuknutí pandemie</w:t>
      </w:r>
      <w:r w:rsidR="00C96511">
        <w:rPr>
          <w:rFonts w:ascii="Calibri" w:hAnsi="Calibri" w:cs="Calibri"/>
          <w:sz w:val="20"/>
        </w:rPr>
        <w:t>, ale i</w:t>
      </w:r>
      <w:r w:rsidR="000A7993">
        <w:rPr>
          <w:rFonts w:ascii="Calibri" w:hAnsi="Calibri" w:cs="Calibri"/>
          <w:sz w:val="20"/>
        </w:rPr>
        <w:t xml:space="preserve"> z pohledu</w:t>
      </w:r>
      <w:r w:rsidR="00C96511">
        <w:rPr>
          <w:rFonts w:ascii="Calibri" w:hAnsi="Calibri" w:cs="Calibri"/>
          <w:sz w:val="20"/>
        </w:rPr>
        <w:t xml:space="preserve"> dlouhodobějšího vývoje. </w:t>
      </w:r>
      <w:r w:rsidR="00D95BCC">
        <w:rPr>
          <w:rFonts w:ascii="Calibri" w:hAnsi="Calibri" w:cs="Calibri"/>
          <w:sz w:val="20"/>
        </w:rPr>
        <w:t xml:space="preserve">Po dvou letech </w:t>
      </w:r>
      <w:r w:rsidR="000A7993">
        <w:rPr>
          <w:rFonts w:ascii="Calibri" w:hAnsi="Calibri" w:cs="Calibri"/>
          <w:sz w:val="20"/>
        </w:rPr>
        <w:t xml:space="preserve">propadu reálných </w:t>
      </w:r>
      <w:r w:rsidR="00D95BCC">
        <w:rPr>
          <w:rFonts w:ascii="Calibri" w:hAnsi="Calibri" w:cs="Calibri"/>
          <w:sz w:val="20"/>
        </w:rPr>
        <w:t>m</w:t>
      </w:r>
      <w:r w:rsidR="000A7993">
        <w:rPr>
          <w:rFonts w:ascii="Calibri" w:hAnsi="Calibri" w:cs="Calibri"/>
          <w:sz w:val="20"/>
        </w:rPr>
        <w:t>ezd</w:t>
      </w:r>
      <w:r w:rsidR="00D95BCC">
        <w:rPr>
          <w:rFonts w:ascii="Calibri" w:hAnsi="Calibri" w:cs="Calibri"/>
          <w:sz w:val="20"/>
        </w:rPr>
        <w:t xml:space="preserve"> </w:t>
      </w:r>
      <w:r w:rsidR="000A7993">
        <w:rPr>
          <w:rFonts w:ascii="Calibri" w:hAnsi="Calibri" w:cs="Calibri"/>
          <w:sz w:val="20"/>
        </w:rPr>
        <w:t>by měly reálné mzdy letos růst o 4,4 %, v příštím roce přes 3 %.</w:t>
      </w:r>
      <w:r w:rsidR="00B33E7B">
        <w:rPr>
          <w:rFonts w:ascii="Calibri" w:hAnsi="Calibri" w:cs="Calibri"/>
          <w:sz w:val="20"/>
        </w:rPr>
        <w:t xml:space="preserve"> I přesto bude úroveň reálných mezd odpovídat zhruba roku 2018.</w:t>
      </w:r>
      <w:r w:rsidR="00D260F0">
        <w:rPr>
          <w:rFonts w:ascii="Calibri" w:hAnsi="Calibri" w:cs="Calibri"/>
          <w:sz w:val="20"/>
        </w:rPr>
        <w:t xml:space="preserve"> Vyšší růst mezd oproti očekávání </w:t>
      </w:r>
      <w:r w:rsidR="00E610F1">
        <w:rPr>
          <w:rFonts w:ascii="Calibri" w:hAnsi="Calibri" w:cs="Calibri"/>
          <w:sz w:val="20"/>
        </w:rPr>
        <w:t xml:space="preserve">této </w:t>
      </w:r>
      <w:r w:rsidR="00D260F0">
        <w:rPr>
          <w:rFonts w:ascii="Calibri" w:hAnsi="Calibri" w:cs="Calibri"/>
          <w:sz w:val="20"/>
        </w:rPr>
        <w:t>prognózy pak může plynou</w:t>
      </w:r>
      <w:r w:rsidR="00E610F1">
        <w:rPr>
          <w:rFonts w:ascii="Calibri" w:hAnsi="Calibri" w:cs="Calibri"/>
          <w:sz w:val="20"/>
        </w:rPr>
        <w:t>t</w:t>
      </w:r>
      <w:r w:rsidR="00D260F0">
        <w:rPr>
          <w:rFonts w:ascii="Calibri" w:hAnsi="Calibri" w:cs="Calibri"/>
          <w:sz w:val="20"/>
        </w:rPr>
        <w:t xml:space="preserve"> z</w:t>
      </w:r>
      <w:r w:rsidR="00E610F1">
        <w:rPr>
          <w:rFonts w:ascii="Calibri" w:hAnsi="Calibri" w:cs="Calibri"/>
          <w:sz w:val="20"/>
        </w:rPr>
        <w:t xml:space="preserve"> případného rychlejšího </w:t>
      </w:r>
      <w:r w:rsidR="00D260F0">
        <w:rPr>
          <w:rFonts w:ascii="Calibri" w:hAnsi="Calibri" w:cs="Calibri"/>
          <w:sz w:val="20"/>
        </w:rPr>
        <w:t>růstu mezd ve veřejném sektoru.</w:t>
      </w:r>
    </w:p>
    <w:p w14:paraId="4EE3EE81" w14:textId="77777777" w:rsidR="007B5FE5" w:rsidRDefault="007B5FE5" w:rsidP="00B4285D">
      <w:pPr>
        <w:rPr>
          <w:rFonts w:ascii="Calibri" w:hAnsi="Calibri" w:cs="Calibri"/>
          <w:sz w:val="20"/>
        </w:rPr>
      </w:pPr>
    </w:p>
    <w:p w14:paraId="71CF0BE4" w14:textId="07E2FA54" w:rsidR="00B941DB" w:rsidRPr="0074441D" w:rsidRDefault="0065523B" w:rsidP="004F09E3">
      <w:pPr>
        <w:rPr>
          <w:rFonts w:ascii="Calibri" w:hAnsi="Calibri" w:cs="Calibri"/>
          <w:b/>
          <w:color w:val="13576B"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>Průměrná i</w:t>
      </w:r>
      <w:r w:rsidR="00B941DB" w:rsidRPr="0074441D">
        <w:rPr>
          <w:rFonts w:ascii="Calibri" w:hAnsi="Calibri" w:cs="Calibri"/>
          <w:b/>
          <w:color w:val="13576B"/>
          <w:sz w:val="22"/>
          <w:szCs w:val="22"/>
        </w:rPr>
        <w:t xml:space="preserve">nflace </w:t>
      </w:r>
      <w:r w:rsidR="00CE5236">
        <w:rPr>
          <w:rFonts w:ascii="Calibri" w:hAnsi="Calibri" w:cs="Calibri"/>
          <w:b/>
          <w:color w:val="13576B"/>
          <w:sz w:val="22"/>
          <w:szCs w:val="22"/>
        </w:rPr>
        <w:t xml:space="preserve">letos </w:t>
      </w:r>
      <w:r w:rsidR="00A43682">
        <w:rPr>
          <w:rFonts w:ascii="Calibri" w:hAnsi="Calibri" w:cs="Calibri"/>
          <w:b/>
          <w:color w:val="13576B"/>
          <w:sz w:val="22"/>
          <w:szCs w:val="22"/>
        </w:rPr>
        <w:t>i příští rok bude poblíž 2% cíle ČNB</w:t>
      </w:r>
    </w:p>
    <w:p w14:paraId="424F03C8" w14:textId="61D816ED" w:rsidR="0080589F" w:rsidRDefault="008B3FEF" w:rsidP="00B941DB">
      <w:pPr>
        <w:rPr>
          <w:rFonts w:ascii="Calibri" w:hAnsi="Calibri" w:cs="Calibri"/>
          <w:sz w:val="20"/>
        </w:rPr>
      </w:pPr>
      <w:r w:rsidRPr="00A97B14">
        <w:rPr>
          <w:b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6518F51" wp14:editId="3BB17DB2">
                <wp:simplePos x="0" y="0"/>
                <wp:positionH relativeFrom="margin">
                  <wp:posOffset>-14605</wp:posOffset>
                </wp:positionH>
                <wp:positionV relativeFrom="paragraph">
                  <wp:posOffset>1133400</wp:posOffset>
                </wp:positionV>
                <wp:extent cx="6461760" cy="736600"/>
                <wp:effectExtent l="0" t="0" r="15240" b="2540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671EF" w14:textId="77777777" w:rsidR="00205BC3" w:rsidRPr="002C2AE2" w:rsidRDefault="00205BC3" w:rsidP="00205B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bookmarkStart w:id="8" w:name="_Hlk165979168"/>
                            <w:bookmarkStart w:id="9" w:name="_Hlk165979169"/>
                            <w:bookmarkStart w:id="10" w:name="_Hlk173846726"/>
                            <w:r w:rsidRPr="002C2AE2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Jaromír Šindel, hlavní ekonom Citibank:</w:t>
                            </w:r>
                          </w:p>
                          <w:p w14:paraId="58A268B1" w14:textId="62351065" w:rsidR="000F0B99" w:rsidRPr="00F37DC9" w:rsidRDefault="000F0B99" w:rsidP="000F0B99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0F6888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„</w:t>
                            </w:r>
                            <w:bookmarkEnd w:id="8"/>
                            <w:bookmarkEnd w:id="9"/>
                            <w:r w:rsidR="000F6888" w:rsidRPr="000F6888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 xml:space="preserve">Výhled na pomalejší oživení ekonomiky a slábnoucí inflaci udržuje očekávání dalšího poklesu dvoutýdenní </w:t>
                            </w:r>
                            <w:proofErr w:type="spellStart"/>
                            <w:r w:rsidR="000F6888" w:rsidRPr="000F6888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repo</w:t>
                            </w:r>
                            <w:proofErr w:type="spellEnd"/>
                            <w:r w:rsidR="000F6888" w:rsidRPr="000F6888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 xml:space="preserve"> sazby ČNB k 3,5</w:t>
                            </w:r>
                            <w:r w:rsidR="000F6888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 </w:t>
                            </w:r>
                            <w:r w:rsidR="000F6888" w:rsidRPr="000F6888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% koncem příštího roku. Ovšem nemalá většina konsensu se přiklání k o něco výraznějšímu poklesu úrokové sazby ČNB až ke 3</w:t>
                            </w:r>
                            <w:r w:rsidR="000F6888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 </w:t>
                            </w:r>
                            <w:r w:rsidR="000F6888" w:rsidRPr="000F6888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 xml:space="preserve">%, což by byl pravděpodobnější scénář při naplnění rizik </w:t>
                            </w:r>
                            <w:r w:rsidR="000F6888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 xml:space="preserve">a při pomalejším </w:t>
                            </w:r>
                            <w:r w:rsidR="000F6888" w:rsidRPr="000F6888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oživení české ekonomiky</w:t>
                            </w:r>
                            <w:r w:rsidR="000F6888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.“</w:t>
                            </w:r>
                          </w:p>
                          <w:bookmarkEnd w:id="10"/>
                          <w:p w14:paraId="2C965C9B" w14:textId="0E045E4D" w:rsidR="004728A5" w:rsidRPr="00F37DC9" w:rsidRDefault="004728A5" w:rsidP="000F0B99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18F51" id="Textové pole 6" o:spid="_x0000_s1028" type="#_x0000_t202" style="position:absolute;left:0;text-align:left;margin-left:-1.15pt;margin-top:89.25pt;width:508.8pt;height:5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">
                <v:textbox>
                  <w:txbxContent>
                    <w:p w14:paraId="185671EF" w14:textId="77777777" w:rsidR="00205BC3" w:rsidRPr="002C2AE2" w:rsidRDefault="00205BC3" w:rsidP="00205BC3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bookmarkStart w:id="11" w:name="_Hlk165979168"/>
                      <w:bookmarkStart w:id="12" w:name="_Hlk165979169"/>
                      <w:bookmarkStart w:id="13" w:name="_Hlk173846726"/>
                      <w:r w:rsidRPr="002C2AE2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Jaromír Šindel, hlavní ekonom Citibank:</w:t>
                      </w:r>
                    </w:p>
                    <w:p w14:paraId="58A268B1" w14:textId="62351065" w:rsidR="000F0B99" w:rsidRPr="00F37DC9" w:rsidRDefault="000F0B99" w:rsidP="000F0B99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0F6888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„</w:t>
                      </w:r>
                      <w:bookmarkEnd w:id="11"/>
                      <w:bookmarkEnd w:id="12"/>
                      <w:r w:rsidR="000F6888" w:rsidRPr="000F6888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 xml:space="preserve">Výhled na pomalejší oživení ekonomiky a slábnoucí inflaci udržuje očekávání dalšího poklesu dvoutýdenní </w:t>
                      </w:r>
                      <w:proofErr w:type="spellStart"/>
                      <w:r w:rsidR="000F6888" w:rsidRPr="000F6888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repo</w:t>
                      </w:r>
                      <w:proofErr w:type="spellEnd"/>
                      <w:r w:rsidR="000F6888" w:rsidRPr="000F6888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 xml:space="preserve"> sazby ČNB k 3,5</w:t>
                      </w:r>
                      <w:r w:rsidR="000F6888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 </w:t>
                      </w:r>
                      <w:r w:rsidR="000F6888" w:rsidRPr="000F6888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% koncem příštího roku. Ovšem nemalá většina konsensu se přiklání k o něco výraznějšímu poklesu úrokové sazby ČNB až ke 3</w:t>
                      </w:r>
                      <w:r w:rsidR="000F6888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 </w:t>
                      </w:r>
                      <w:r w:rsidR="000F6888" w:rsidRPr="000F6888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 xml:space="preserve">%, což by byl pravděpodobnější scénář při naplnění rizik </w:t>
                      </w:r>
                      <w:r w:rsidR="000F6888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 xml:space="preserve">a při pomalejším </w:t>
                      </w:r>
                      <w:r w:rsidR="000F6888" w:rsidRPr="000F6888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oživení české ekonomiky</w:t>
                      </w:r>
                      <w:r w:rsidR="000F6888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.“</w:t>
                      </w:r>
                    </w:p>
                    <w:bookmarkEnd w:id="13"/>
                    <w:p w14:paraId="2C965C9B" w14:textId="0E045E4D" w:rsidR="004728A5" w:rsidRPr="00F37DC9" w:rsidRDefault="004728A5" w:rsidP="000F0B99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6235">
        <w:rPr>
          <w:rFonts w:ascii="Calibri" w:hAnsi="Calibri" w:cs="Calibri"/>
          <w:sz w:val="20"/>
        </w:rPr>
        <w:t xml:space="preserve">Vývoj inflace v letošním roce prozatím odpovídá odhadům, proto se celoroční odhad nezměnil a setrvává na 2,3 %. Mírně slabší inflace v červnu však přináší mírná protiinflační rizika, zejména z pohledu letních měsíců, kdy se inflace může pohybovat krátkodobě i pod </w:t>
      </w:r>
      <w:proofErr w:type="gramStart"/>
      <w:r w:rsidR="00676235">
        <w:rPr>
          <w:rFonts w:ascii="Calibri" w:hAnsi="Calibri" w:cs="Calibri"/>
          <w:sz w:val="20"/>
        </w:rPr>
        <w:t>2%</w:t>
      </w:r>
      <w:proofErr w:type="gramEnd"/>
      <w:r w:rsidR="00676235">
        <w:rPr>
          <w:rFonts w:ascii="Calibri" w:hAnsi="Calibri" w:cs="Calibri"/>
          <w:sz w:val="20"/>
        </w:rPr>
        <w:t xml:space="preserve"> cílem ČNB. V závěru roku se však nadále čeká mírné zrychlení inflace z titulu efektu nižší srovnávací základny a meziroční inflace na konci letošního roku konsensus očekává ve výši 2,6 %. </w:t>
      </w:r>
      <w:r w:rsidR="00774F0B">
        <w:rPr>
          <w:rFonts w:ascii="Calibri" w:hAnsi="Calibri" w:cs="Calibri"/>
          <w:sz w:val="20"/>
        </w:rPr>
        <w:t xml:space="preserve">Rizikem setrvává </w:t>
      </w:r>
      <w:r w:rsidR="00676235">
        <w:rPr>
          <w:rFonts w:ascii="Calibri" w:hAnsi="Calibri" w:cs="Calibri"/>
          <w:sz w:val="20"/>
        </w:rPr>
        <w:t xml:space="preserve">nadále </w:t>
      </w:r>
      <w:r w:rsidR="00774F0B">
        <w:rPr>
          <w:rFonts w:ascii="Calibri" w:hAnsi="Calibri" w:cs="Calibri"/>
          <w:sz w:val="20"/>
        </w:rPr>
        <w:t>pomal</w:t>
      </w:r>
      <w:r w:rsidR="007243C9">
        <w:rPr>
          <w:rFonts w:ascii="Calibri" w:hAnsi="Calibri" w:cs="Calibri"/>
          <w:sz w:val="20"/>
        </w:rPr>
        <w:t>ý</w:t>
      </w:r>
      <w:r w:rsidR="00774F0B">
        <w:rPr>
          <w:rFonts w:ascii="Calibri" w:hAnsi="Calibri" w:cs="Calibri"/>
          <w:sz w:val="20"/>
        </w:rPr>
        <w:t xml:space="preserve"> pokles infl</w:t>
      </w:r>
      <w:r w:rsidR="007243C9">
        <w:rPr>
          <w:rFonts w:ascii="Calibri" w:hAnsi="Calibri" w:cs="Calibri"/>
          <w:sz w:val="20"/>
        </w:rPr>
        <w:t>a</w:t>
      </w:r>
      <w:r w:rsidR="00774F0B">
        <w:rPr>
          <w:rFonts w:ascii="Calibri" w:hAnsi="Calibri" w:cs="Calibri"/>
          <w:sz w:val="20"/>
        </w:rPr>
        <w:t>ce ve službách, kde ceny stále rostou meziročně ko</w:t>
      </w:r>
      <w:r w:rsidR="007243C9">
        <w:rPr>
          <w:rFonts w:ascii="Calibri" w:hAnsi="Calibri" w:cs="Calibri"/>
          <w:sz w:val="20"/>
        </w:rPr>
        <w:t>l</w:t>
      </w:r>
      <w:r w:rsidR="00774F0B">
        <w:rPr>
          <w:rFonts w:ascii="Calibri" w:hAnsi="Calibri" w:cs="Calibri"/>
          <w:sz w:val="20"/>
        </w:rPr>
        <w:t>e</w:t>
      </w:r>
      <w:r w:rsidR="007243C9">
        <w:rPr>
          <w:rFonts w:ascii="Calibri" w:hAnsi="Calibri" w:cs="Calibri"/>
          <w:sz w:val="20"/>
        </w:rPr>
        <w:t>m</w:t>
      </w:r>
      <w:r w:rsidR="00774F0B">
        <w:rPr>
          <w:rFonts w:ascii="Calibri" w:hAnsi="Calibri" w:cs="Calibri"/>
          <w:sz w:val="20"/>
        </w:rPr>
        <w:t xml:space="preserve"> 5 %</w:t>
      </w:r>
      <w:r w:rsidR="007243C9">
        <w:rPr>
          <w:rFonts w:ascii="Calibri" w:hAnsi="Calibri" w:cs="Calibri"/>
          <w:sz w:val="20"/>
        </w:rPr>
        <w:t xml:space="preserve"> a meziměsíční růst setrvává nad dlouhodobým průměrem předpandemických let</w:t>
      </w:r>
      <w:r w:rsidR="00774F0B">
        <w:rPr>
          <w:rFonts w:ascii="Calibri" w:hAnsi="Calibri" w:cs="Calibri"/>
          <w:sz w:val="20"/>
        </w:rPr>
        <w:t xml:space="preserve">. Mimoto </w:t>
      </w:r>
      <w:r w:rsidR="007243C9">
        <w:rPr>
          <w:rFonts w:ascii="Calibri" w:hAnsi="Calibri" w:cs="Calibri"/>
          <w:sz w:val="20"/>
        </w:rPr>
        <w:t xml:space="preserve">stále </w:t>
      </w:r>
      <w:r w:rsidR="00774F0B">
        <w:rPr>
          <w:rFonts w:ascii="Calibri" w:hAnsi="Calibri" w:cs="Calibri"/>
          <w:sz w:val="20"/>
        </w:rPr>
        <w:t>existují obtížně odhadnutelná rizika spojená s válečným konfliktem na Ukrajině či na Blízkém východ</w:t>
      </w:r>
      <w:r w:rsidR="00F528A9">
        <w:rPr>
          <w:rFonts w:ascii="Calibri" w:hAnsi="Calibri" w:cs="Calibri"/>
          <w:sz w:val="20"/>
        </w:rPr>
        <w:t>ě</w:t>
      </w:r>
      <w:r w:rsidR="00774F0B">
        <w:rPr>
          <w:rFonts w:ascii="Calibri" w:hAnsi="Calibri" w:cs="Calibri"/>
          <w:sz w:val="20"/>
        </w:rPr>
        <w:t>. I přesto o</w:t>
      </w:r>
      <w:r w:rsidR="0080589F">
        <w:rPr>
          <w:rFonts w:ascii="Calibri" w:hAnsi="Calibri" w:cs="Calibri"/>
          <w:sz w:val="20"/>
        </w:rPr>
        <w:t>dhad inflace pro</w:t>
      </w:r>
      <w:r w:rsidR="00676235">
        <w:rPr>
          <w:rFonts w:ascii="Calibri" w:hAnsi="Calibri" w:cs="Calibri"/>
          <w:sz w:val="20"/>
        </w:rPr>
        <w:t xml:space="preserve"> letošní i příští rok setrvává poblíž 2% cíle centrální banky.</w:t>
      </w:r>
    </w:p>
    <w:p w14:paraId="79F7C9A9" w14:textId="33318F74" w:rsidR="00B941DB" w:rsidRDefault="00F345FE" w:rsidP="00FD4088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color w:val="13576B"/>
          <w:sz w:val="22"/>
          <w:szCs w:val="22"/>
        </w:rPr>
        <w:t>ČNB</w:t>
      </w:r>
      <w:r w:rsidR="00CE5236">
        <w:rPr>
          <w:rFonts w:ascii="Calibri" w:hAnsi="Calibri" w:cs="Calibri"/>
          <w:b/>
          <w:color w:val="13576B"/>
          <w:sz w:val="22"/>
          <w:szCs w:val="22"/>
        </w:rPr>
        <w:t xml:space="preserve"> bude pokračovat ve snižování sazeb, do konce roku její hlavní sazba poklesne </w:t>
      </w:r>
      <w:r w:rsidR="00676235">
        <w:rPr>
          <w:rFonts w:ascii="Calibri" w:hAnsi="Calibri" w:cs="Calibri"/>
          <w:b/>
          <w:color w:val="13576B"/>
          <w:sz w:val="22"/>
          <w:szCs w:val="22"/>
        </w:rPr>
        <w:t>mírně pod</w:t>
      </w:r>
      <w:r>
        <w:rPr>
          <w:rFonts w:ascii="Calibri" w:hAnsi="Calibri" w:cs="Calibri"/>
          <w:b/>
          <w:color w:val="13576B"/>
          <w:sz w:val="22"/>
          <w:szCs w:val="22"/>
        </w:rPr>
        <w:t xml:space="preserve"> 4 %</w:t>
      </w:r>
    </w:p>
    <w:p w14:paraId="557B5182" w14:textId="584412BA" w:rsidR="00FE2E40" w:rsidRDefault="0079753B" w:rsidP="00B941DB">
      <w:pPr>
        <w:rPr>
          <w:rFonts w:ascii="Calibri" w:hAnsi="Calibri" w:cs="Calibri"/>
          <w:sz w:val="20"/>
        </w:rPr>
      </w:pPr>
      <w:r w:rsidRPr="0079753B">
        <w:rPr>
          <w:rFonts w:ascii="Calibri" w:hAnsi="Calibri" w:cs="Calibri"/>
          <w:sz w:val="20"/>
        </w:rPr>
        <w:t xml:space="preserve">Česká národní banka </w:t>
      </w:r>
      <w:r w:rsidR="00CE5236">
        <w:rPr>
          <w:rFonts w:ascii="Calibri" w:hAnsi="Calibri" w:cs="Calibri"/>
          <w:sz w:val="20"/>
        </w:rPr>
        <w:t>v</w:t>
      </w:r>
      <w:r w:rsidR="00BD5070">
        <w:rPr>
          <w:rFonts w:ascii="Calibri" w:hAnsi="Calibri" w:cs="Calibri"/>
          <w:sz w:val="20"/>
        </w:rPr>
        <w:t> srpnu pokračovala v</w:t>
      </w:r>
      <w:r w:rsidR="0061416D">
        <w:rPr>
          <w:rFonts w:ascii="Calibri" w:hAnsi="Calibri" w:cs="Calibri"/>
          <w:sz w:val="20"/>
        </w:rPr>
        <w:t xml:space="preserve">e snižování </w:t>
      </w:r>
      <w:r w:rsidR="00BD5070">
        <w:rPr>
          <w:rFonts w:ascii="Calibri" w:hAnsi="Calibri" w:cs="Calibri"/>
          <w:sz w:val="20"/>
        </w:rPr>
        <w:t xml:space="preserve">úrokových sazeb, oproti předcházejícím </w:t>
      </w:r>
      <w:r w:rsidR="00676235">
        <w:rPr>
          <w:rFonts w:ascii="Calibri" w:hAnsi="Calibri" w:cs="Calibri"/>
          <w:sz w:val="20"/>
        </w:rPr>
        <w:t xml:space="preserve">měnovým jednáním </w:t>
      </w:r>
      <w:r w:rsidR="00BD5070">
        <w:rPr>
          <w:rFonts w:ascii="Calibri" w:hAnsi="Calibri" w:cs="Calibri"/>
          <w:sz w:val="20"/>
        </w:rPr>
        <w:t>však zpomalila tempo poklesu na tradičn</w:t>
      </w:r>
      <w:r w:rsidR="00D260F0">
        <w:rPr>
          <w:rFonts w:ascii="Calibri" w:hAnsi="Calibri" w:cs="Calibri"/>
          <w:sz w:val="20"/>
        </w:rPr>
        <w:t>ější</w:t>
      </w:r>
      <w:r w:rsidR="00BD5070">
        <w:rPr>
          <w:rFonts w:ascii="Calibri" w:hAnsi="Calibri" w:cs="Calibri"/>
          <w:sz w:val="20"/>
        </w:rPr>
        <w:t xml:space="preserve"> čtvrt procentního bodu. Hlavní sazba se tak dostala na 4,5 %.</w:t>
      </w:r>
      <w:r w:rsidR="00D260F0">
        <w:rPr>
          <w:rFonts w:ascii="Calibri" w:hAnsi="Calibri" w:cs="Calibri"/>
          <w:sz w:val="20"/>
        </w:rPr>
        <w:t xml:space="preserve"> </w:t>
      </w:r>
      <w:r w:rsidR="00676235">
        <w:rPr>
          <w:rFonts w:ascii="Calibri" w:hAnsi="Calibri" w:cs="Calibri"/>
          <w:sz w:val="20"/>
        </w:rPr>
        <w:t>Ačkoli samotná prognóza centrální banky již v letošním roce další</w:t>
      </w:r>
      <w:r w:rsidR="007F39E1">
        <w:rPr>
          <w:rFonts w:ascii="Calibri" w:hAnsi="Calibri" w:cs="Calibri"/>
          <w:sz w:val="20"/>
        </w:rPr>
        <w:t xml:space="preserve"> snižování</w:t>
      </w:r>
      <w:r w:rsidR="00676235">
        <w:rPr>
          <w:rFonts w:ascii="Calibri" w:hAnsi="Calibri" w:cs="Calibri"/>
          <w:sz w:val="20"/>
        </w:rPr>
        <w:t xml:space="preserve"> sazeb</w:t>
      </w:r>
      <w:r w:rsidR="0061416D">
        <w:rPr>
          <w:rFonts w:ascii="Calibri" w:hAnsi="Calibri" w:cs="Calibri"/>
          <w:sz w:val="20"/>
        </w:rPr>
        <w:t xml:space="preserve"> </w:t>
      </w:r>
      <w:r w:rsidR="00F57DE2">
        <w:rPr>
          <w:rFonts w:ascii="Calibri" w:hAnsi="Calibri" w:cs="Calibri"/>
          <w:sz w:val="20"/>
        </w:rPr>
        <w:t xml:space="preserve">vesměs </w:t>
      </w:r>
      <w:r w:rsidR="0061416D">
        <w:rPr>
          <w:rFonts w:ascii="Calibri" w:hAnsi="Calibri" w:cs="Calibri"/>
          <w:sz w:val="20"/>
        </w:rPr>
        <w:t>nečeká</w:t>
      </w:r>
      <w:r w:rsidR="007F39E1">
        <w:rPr>
          <w:rFonts w:ascii="Calibri" w:hAnsi="Calibri" w:cs="Calibri"/>
          <w:sz w:val="20"/>
        </w:rPr>
        <w:t>, konsensus ekonomů předpokládá po zbytek roku pokračující mírné snižování sazeb o 25 bazických bodů</w:t>
      </w:r>
      <w:r w:rsidR="0061416D">
        <w:rPr>
          <w:rFonts w:ascii="Calibri" w:hAnsi="Calibri" w:cs="Calibri"/>
          <w:sz w:val="20"/>
        </w:rPr>
        <w:t xml:space="preserve"> na každém z nadcházejících jednáních</w:t>
      </w:r>
      <w:r w:rsidR="007F39E1">
        <w:rPr>
          <w:rFonts w:ascii="Calibri" w:hAnsi="Calibri" w:cs="Calibri"/>
          <w:sz w:val="20"/>
        </w:rPr>
        <w:t>. Do konce roku by s</w:t>
      </w:r>
      <w:r w:rsidR="00582D22">
        <w:rPr>
          <w:rFonts w:ascii="Calibri" w:hAnsi="Calibri" w:cs="Calibri"/>
          <w:sz w:val="20"/>
        </w:rPr>
        <w:t>e</w:t>
      </w:r>
      <w:r w:rsidR="007F39E1">
        <w:rPr>
          <w:rFonts w:ascii="Calibri" w:hAnsi="Calibri" w:cs="Calibri"/>
          <w:sz w:val="20"/>
        </w:rPr>
        <w:t xml:space="preserve"> tak hlavní </w:t>
      </w:r>
      <w:r w:rsidR="007F39E1">
        <w:rPr>
          <w:rFonts w:ascii="Calibri" w:hAnsi="Calibri" w:cs="Calibri"/>
          <w:sz w:val="20"/>
        </w:rPr>
        <w:lastRenderedPageBreak/>
        <w:t>sazba ČNB měla dostat na úroveň 3,75 %. V příštím roce konsensus pak očekává již jen jedno snížení a hlavní sazbu na konc</w:t>
      </w:r>
      <w:r w:rsidR="002A2CD8">
        <w:rPr>
          <w:rFonts w:ascii="Calibri" w:hAnsi="Calibri" w:cs="Calibri"/>
          <w:sz w:val="20"/>
        </w:rPr>
        <w:t>i</w:t>
      </w:r>
      <w:r w:rsidR="007F39E1">
        <w:rPr>
          <w:rFonts w:ascii="Calibri" w:hAnsi="Calibri" w:cs="Calibri"/>
          <w:sz w:val="20"/>
        </w:rPr>
        <w:t xml:space="preserve"> roku na 3,5</w:t>
      </w:r>
      <w:r w:rsidR="0061416D">
        <w:rPr>
          <w:rFonts w:ascii="Calibri" w:hAnsi="Calibri" w:cs="Calibri"/>
          <w:sz w:val="20"/>
        </w:rPr>
        <w:t> </w:t>
      </w:r>
      <w:r w:rsidR="007F39E1">
        <w:rPr>
          <w:rFonts w:ascii="Calibri" w:hAnsi="Calibri" w:cs="Calibri"/>
          <w:sz w:val="20"/>
        </w:rPr>
        <w:t xml:space="preserve">%, prognózy jsou však v tomto ohledu různorodé a průměr hlavní sazby koncem roku činí 3,25 %, to znamená, že část ekonomů očekává v příštím roce mírně </w:t>
      </w:r>
      <w:r w:rsidR="0061416D">
        <w:rPr>
          <w:rFonts w:ascii="Calibri" w:hAnsi="Calibri" w:cs="Calibri"/>
          <w:sz w:val="20"/>
        </w:rPr>
        <w:t xml:space="preserve">rychlejší </w:t>
      </w:r>
      <w:r w:rsidR="007F39E1">
        <w:rPr>
          <w:rFonts w:ascii="Calibri" w:hAnsi="Calibri" w:cs="Calibri"/>
          <w:sz w:val="20"/>
        </w:rPr>
        <w:t>pokles sazeb. Žádná z prognóz však nečeká hlavní sazbu ČNB koncem roku 2025 pod 3% hranicí.</w:t>
      </w:r>
    </w:p>
    <w:p w14:paraId="1F212B88" w14:textId="271170FB" w:rsidR="007B17AD" w:rsidRDefault="004E4AD6" w:rsidP="00B941DB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</w:t>
      </w:r>
    </w:p>
    <w:p w14:paraId="4CB5A075" w14:textId="5F031FF8" w:rsidR="000A72B8" w:rsidRDefault="00A97B14" w:rsidP="00B941DB">
      <w:pPr>
        <w:rPr>
          <w:rFonts w:ascii="Calibri" w:hAnsi="Calibri" w:cs="Calibri"/>
          <w:sz w:val="20"/>
        </w:rPr>
      </w:pPr>
      <w:r w:rsidRPr="00A97B14">
        <w:rPr>
          <w:rFonts w:ascii="Calibri" w:hAnsi="Calibri" w:cs="Calibri"/>
          <w:b/>
          <w:bCs/>
          <w:sz w:val="20"/>
        </w:rPr>
        <w:t>Kurz koruny</w:t>
      </w:r>
      <w:r w:rsidR="002D2DEC">
        <w:rPr>
          <w:rFonts w:ascii="Calibri" w:hAnsi="Calibri" w:cs="Calibri"/>
          <w:b/>
          <w:bCs/>
          <w:sz w:val="20"/>
        </w:rPr>
        <w:t xml:space="preserve"> </w:t>
      </w:r>
      <w:r w:rsidR="00202BDA">
        <w:rPr>
          <w:rFonts w:ascii="Calibri" w:hAnsi="Calibri" w:cs="Calibri"/>
          <w:b/>
          <w:bCs/>
          <w:sz w:val="20"/>
        </w:rPr>
        <w:t xml:space="preserve">byl </w:t>
      </w:r>
      <w:r w:rsidR="00CF2169">
        <w:rPr>
          <w:rFonts w:ascii="Calibri" w:hAnsi="Calibri" w:cs="Calibri"/>
          <w:b/>
          <w:bCs/>
          <w:sz w:val="20"/>
        </w:rPr>
        <w:t>v nové prognóze přehodnocen</w:t>
      </w:r>
      <w:r w:rsidR="00CE5236">
        <w:rPr>
          <w:rFonts w:ascii="Calibri" w:hAnsi="Calibri" w:cs="Calibri"/>
          <w:b/>
          <w:bCs/>
          <w:sz w:val="20"/>
        </w:rPr>
        <w:t xml:space="preserve"> </w:t>
      </w:r>
      <w:r w:rsidR="0061416D">
        <w:rPr>
          <w:rFonts w:ascii="Calibri" w:hAnsi="Calibri" w:cs="Calibri"/>
          <w:b/>
          <w:bCs/>
          <w:sz w:val="20"/>
        </w:rPr>
        <w:t xml:space="preserve">jen velmi </w:t>
      </w:r>
      <w:r w:rsidR="00CE5236">
        <w:rPr>
          <w:rFonts w:ascii="Calibri" w:hAnsi="Calibri" w:cs="Calibri"/>
          <w:b/>
          <w:bCs/>
          <w:sz w:val="20"/>
        </w:rPr>
        <w:t>mírně</w:t>
      </w:r>
      <w:r w:rsidR="00CF2169">
        <w:rPr>
          <w:rFonts w:ascii="Calibri" w:hAnsi="Calibri" w:cs="Calibri"/>
          <w:b/>
          <w:bCs/>
          <w:sz w:val="20"/>
        </w:rPr>
        <w:t xml:space="preserve"> směrem ke slabším hodnotám</w:t>
      </w:r>
      <w:r w:rsidR="0061416D">
        <w:rPr>
          <w:rFonts w:ascii="Calibri" w:hAnsi="Calibri" w:cs="Calibri"/>
          <w:b/>
          <w:bCs/>
          <w:sz w:val="20"/>
        </w:rPr>
        <w:t>.</w:t>
      </w:r>
      <w:r w:rsidR="0034583B">
        <w:rPr>
          <w:rFonts w:ascii="Calibri" w:hAnsi="Calibri" w:cs="Calibri"/>
          <w:b/>
          <w:bCs/>
          <w:sz w:val="20"/>
        </w:rPr>
        <w:t xml:space="preserve"> Průměrná hodnota pro letošní rok by tak měla </w:t>
      </w:r>
      <w:r w:rsidR="00350D3F">
        <w:rPr>
          <w:rFonts w:ascii="Calibri" w:hAnsi="Calibri" w:cs="Calibri"/>
          <w:b/>
          <w:bCs/>
          <w:sz w:val="20"/>
        </w:rPr>
        <w:t xml:space="preserve">setrvat </w:t>
      </w:r>
      <w:r w:rsidR="0034583B">
        <w:rPr>
          <w:rFonts w:ascii="Calibri" w:hAnsi="Calibri" w:cs="Calibri"/>
          <w:b/>
          <w:bCs/>
          <w:sz w:val="20"/>
        </w:rPr>
        <w:t xml:space="preserve">nad hranicí 25 Kč za euro. </w:t>
      </w:r>
      <w:r w:rsidR="00CF2169">
        <w:rPr>
          <w:rFonts w:ascii="Calibri" w:hAnsi="Calibri" w:cs="Calibri"/>
          <w:b/>
          <w:bCs/>
          <w:sz w:val="20"/>
        </w:rPr>
        <w:t>Na konci letošního roku</w:t>
      </w:r>
      <w:r w:rsidR="0034583B">
        <w:rPr>
          <w:rFonts w:ascii="Calibri" w:hAnsi="Calibri" w:cs="Calibri"/>
          <w:b/>
          <w:bCs/>
          <w:sz w:val="20"/>
        </w:rPr>
        <w:t xml:space="preserve"> </w:t>
      </w:r>
      <w:r w:rsidR="00CF2169">
        <w:rPr>
          <w:rFonts w:ascii="Calibri" w:hAnsi="Calibri" w:cs="Calibri"/>
          <w:b/>
          <w:bCs/>
          <w:sz w:val="20"/>
        </w:rPr>
        <w:t xml:space="preserve">prognostický panel </w:t>
      </w:r>
      <w:r w:rsidR="0034583B">
        <w:rPr>
          <w:rFonts w:ascii="Calibri" w:hAnsi="Calibri" w:cs="Calibri"/>
          <w:b/>
          <w:bCs/>
          <w:sz w:val="20"/>
        </w:rPr>
        <w:t xml:space="preserve">nadále odhaduje posílení koruny </w:t>
      </w:r>
      <w:r w:rsidR="00350D3F">
        <w:rPr>
          <w:rFonts w:ascii="Calibri" w:hAnsi="Calibri" w:cs="Calibri"/>
          <w:b/>
          <w:bCs/>
          <w:sz w:val="20"/>
        </w:rPr>
        <w:t xml:space="preserve">a </w:t>
      </w:r>
      <w:r w:rsidR="0034583B">
        <w:rPr>
          <w:rFonts w:ascii="Calibri" w:hAnsi="Calibri" w:cs="Calibri"/>
          <w:b/>
          <w:bCs/>
          <w:sz w:val="20"/>
        </w:rPr>
        <w:t xml:space="preserve">kurz </w:t>
      </w:r>
      <w:r w:rsidR="004A21B8">
        <w:rPr>
          <w:rFonts w:ascii="Calibri" w:hAnsi="Calibri" w:cs="Calibri"/>
          <w:b/>
          <w:bCs/>
          <w:sz w:val="20"/>
        </w:rPr>
        <w:t>u hranice 25 Kč za euro</w:t>
      </w:r>
      <w:r w:rsidR="00334A50">
        <w:rPr>
          <w:rFonts w:ascii="Calibri" w:hAnsi="Calibri" w:cs="Calibri"/>
          <w:b/>
          <w:bCs/>
          <w:sz w:val="20"/>
        </w:rPr>
        <w:t>.</w:t>
      </w:r>
      <w:r w:rsidR="0034583B">
        <w:rPr>
          <w:rFonts w:ascii="Calibri" w:hAnsi="Calibri" w:cs="Calibri"/>
          <w:b/>
          <w:bCs/>
          <w:sz w:val="20"/>
        </w:rPr>
        <w:t xml:space="preserve"> </w:t>
      </w:r>
      <w:r w:rsidR="0034583B" w:rsidRPr="00350D3F">
        <w:rPr>
          <w:rFonts w:ascii="Calibri" w:hAnsi="Calibri" w:cs="Calibri"/>
          <w:sz w:val="20"/>
        </w:rPr>
        <w:t>Rozptyl odhadů jednotlivých prognóz je v tomto ohledu</w:t>
      </w:r>
      <w:r w:rsidR="00350D3F" w:rsidRPr="00350D3F">
        <w:rPr>
          <w:rFonts w:ascii="Calibri" w:hAnsi="Calibri" w:cs="Calibri"/>
          <w:sz w:val="20"/>
        </w:rPr>
        <w:t xml:space="preserve"> výjimečně</w:t>
      </w:r>
      <w:r w:rsidR="0034583B" w:rsidRPr="00350D3F">
        <w:rPr>
          <w:rFonts w:ascii="Calibri" w:hAnsi="Calibri" w:cs="Calibri"/>
          <w:sz w:val="20"/>
        </w:rPr>
        <w:t xml:space="preserve"> úzký a </w:t>
      </w:r>
      <w:r w:rsidR="00350D3F">
        <w:rPr>
          <w:rFonts w:ascii="Calibri" w:hAnsi="Calibri" w:cs="Calibri"/>
          <w:sz w:val="20"/>
        </w:rPr>
        <w:t>ž</w:t>
      </w:r>
      <w:r w:rsidR="0034583B" w:rsidRPr="00350D3F">
        <w:rPr>
          <w:rFonts w:ascii="Calibri" w:hAnsi="Calibri" w:cs="Calibri"/>
          <w:sz w:val="20"/>
        </w:rPr>
        <w:t>ádná z prognóz nevidí kurz koruny koncem letošního roku nad její současnou úrovní.</w:t>
      </w:r>
      <w:r w:rsidR="0034583B">
        <w:rPr>
          <w:rFonts w:ascii="Calibri" w:hAnsi="Calibri" w:cs="Calibri"/>
          <w:b/>
          <w:bCs/>
          <w:sz w:val="20"/>
        </w:rPr>
        <w:t xml:space="preserve"> </w:t>
      </w:r>
      <w:r w:rsidR="00CE5236" w:rsidRPr="00334A50">
        <w:rPr>
          <w:rFonts w:ascii="Calibri" w:hAnsi="Calibri" w:cs="Calibri"/>
          <w:sz w:val="20"/>
        </w:rPr>
        <w:t xml:space="preserve">V příštím roce </w:t>
      </w:r>
      <w:r w:rsidR="00334A50">
        <w:rPr>
          <w:rFonts w:ascii="Calibri" w:hAnsi="Calibri" w:cs="Calibri"/>
          <w:sz w:val="20"/>
        </w:rPr>
        <w:t xml:space="preserve">dle prognózy </w:t>
      </w:r>
      <w:r w:rsidR="00350D3F">
        <w:rPr>
          <w:rFonts w:ascii="Calibri" w:hAnsi="Calibri" w:cs="Calibri"/>
          <w:sz w:val="20"/>
        </w:rPr>
        <w:t xml:space="preserve">průměrný </w:t>
      </w:r>
      <w:r w:rsidR="00334A50">
        <w:rPr>
          <w:rFonts w:ascii="Calibri" w:hAnsi="Calibri" w:cs="Calibri"/>
          <w:sz w:val="20"/>
        </w:rPr>
        <w:t xml:space="preserve">kurz </w:t>
      </w:r>
      <w:r w:rsidR="00CE5236" w:rsidRPr="00334A50">
        <w:rPr>
          <w:rFonts w:ascii="Calibri" w:hAnsi="Calibri" w:cs="Calibri"/>
          <w:sz w:val="20"/>
        </w:rPr>
        <w:t xml:space="preserve">posílí </w:t>
      </w:r>
      <w:r w:rsidR="00350D3F">
        <w:rPr>
          <w:rFonts w:ascii="Calibri" w:hAnsi="Calibri" w:cs="Calibri"/>
          <w:sz w:val="20"/>
        </w:rPr>
        <w:t xml:space="preserve">o necelá 2 % </w:t>
      </w:r>
      <w:r w:rsidR="00CE5236" w:rsidRPr="00334A50">
        <w:rPr>
          <w:rFonts w:ascii="Calibri" w:hAnsi="Calibri" w:cs="Calibri"/>
          <w:sz w:val="20"/>
        </w:rPr>
        <w:t>k hranici 24,</w:t>
      </w:r>
      <w:r w:rsidR="004A21B8">
        <w:rPr>
          <w:rFonts w:ascii="Calibri" w:hAnsi="Calibri" w:cs="Calibri"/>
          <w:sz w:val="20"/>
        </w:rPr>
        <w:t>7</w:t>
      </w:r>
      <w:r w:rsidR="00CE5236" w:rsidRPr="00334A50">
        <w:rPr>
          <w:rFonts w:ascii="Calibri" w:hAnsi="Calibri" w:cs="Calibri"/>
          <w:sz w:val="20"/>
        </w:rPr>
        <w:t xml:space="preserve"> Kč za eur</w:t>
      </w:r>
      <w:r w:rsidR="0089060C">
        <w:rPr>
          <w:rFonts w:ascii="Calibri" w:hAnsi="Calibri" w:cs="Calibri"/>
          <w:sz w:val="20"/>
        </w:rPr>
        <w:t>o</w:t>
      </w:r>
      <w:r w:rsidR="00350D3F">
        <w:rPr>
          <w:rFonts w:ascii="Calibri" w:hAnsi="Calibri" w:cs="Calibri"/>
          <w:sz w:val="20"/>
        </w:rPr>
        <w:t>, do konce roku pak na 24,</w:t>
      </w:r>
      <w:r w:rsidR="004A21B8">
        <w:rPr>
          <w:rFonts w:ascii="Calibri" w:hAnsi="Calibri" w:cs="Calibri"/>
          <w:sz w:val="20"/>
        </w:rPr>
        <w:t>5</w:t>
      </w:r>
      <w:r w:rsidR="00350D3F">
        <w:rPr>
          <w:rFonts w:ascii="Calibri" w:hAnsi="Calibri" w:cs="Calibri"/>
          <w:sz w:val="20"/>
        </w:rPr>
        <w:t xml:space="preserve"> Kč za euro. </w:t>
      </w:r>
    </w:p>
    <w:p w14:paraId="7510B880" w14:textId="1E2C19EB" w:rsidR="00872976" w:rsidRPr="00FD4088" w:rsidRDefault="00872976" w:rsidP="00B941DB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17B9ABDD" w14:textId="5210950C" w:rsidR="006C6CFF" w:rsidRPr="00926110" w:rsidRDefault="004A21B8" w:rsidP="00FD408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>Zadlužení vlády se snížilo i z titulu revize národních účtů, které navýšily nominální úroveň HDP</w:t>
      </w:r>
    </w:p>
    <w:p w14:paraId="3701BD55" w14:textId="6556F4F2" w:rsidR="00DB46CC" w:rsidRDefault="008C4379" w:rsidP="00247943">
      <w:pPr>
        <w:rPr>
          <w:rFonts w:ascii="Calibri" w:hAnsi="Calibri" w:cs="Calibri"/>
          <w:sz w:val="20"/>
        </w:rPr>
      </w:pPr>
      <w:r w:rsidRPr="00926110">
        <w:rPr>
          <w:rFonts w:ascii="Calibri" w:hAnsi="Calibri" w:cs="Calibri"/>
          <w:b/>
          <w:bCs/>
          <w:sz w:val="20"/>
        </w:rPr>
        <w:t>Deficit hospodaření</w:t>
      </w:r>
      <w:r w:rsidR="00124A05" w:rsidRPr="00926110">
        <w:rPr>
          <w:rFonts w:ascii="Calibri" w:hAnsi="Calibri" w:cs="Calibri"/>
          <w:b/>
          <w:bCs/>
          <w:sz w:val="20"/>
        </w:rPr>
        <w:t xml:space="preserve"> státu</w:t>
      </w:r>
      <w:r w:rsidRPr="00926110">
        <w:rPr>
          <w:rFonts w:ascii="Calibri" w:hAnsi="Calibri" w:cs="Calibri"/>
          <w:b/>
          <w:bCs/>
          <w:sz w:val="20"/>
        </w:rPr>
        <w:t xml:space="preserve"> </w:t>
      </w:r>
      <w:r w:rsidR="009A515B">
        <w:rPr>
          <w:rFonts w:ascii="Calibri" w:hAnsi="Calibri" w:cs="Calibri"/>
          <w:b/>
          <w:bCs/>
          <w:sz w:val="20"/>
        </w:rPr>
        <w:t xml:space="preserve">pro </w:t>
      </w:r>
      <w:r w:rsidRPr="00926110">
        <w:rPr>
          <w:rFonts w:ascii="Calibri" w:hAnsi="Calibri" w:cs="Calibri"/>
          <w:b/>
          <w:bCs/>
          <w:sz w:val="20"/>
        </w:rPr>
        <w:t xml:space="preserve">letošní rok odhaduje prognóza ČBA </w:t>
      </w:r>
      <w:r w:rsidR="009A515B">
        <w:rPr>
          <w:rFonts w:ascii="Calibri" w:hAnsi="Calibri" w:cs="Calibri"/>
          <w:b/>
          <w:bCs/>
          <w:sz w:val="20"/>
        </w:rPr>
        <w:t xml:space="preserve">ve výši 2,7 % HDP a ve srovnání s předchozím rokem se tak deficit </w:t>
      </w:r>
      <w:proofErr w:type="gramStart"/>
      <w:r w:rsidR="009A515B">
        <w:rPr>
          <w:rFonts w:ascii="Calibri" w:hAnsi="Calibri" w:cs="Calibri"/>
          <w:b/>
          <w:bCs/>
          <w:sz w:val="20"/>
        </w:rPr>
        <w:t>sníží</w:t>
      </w:r>
      <w:proofErr w:type="gramEnd"/>
      <w:r w:rsidR="009A515B">
        <w:rPr>
          <w:rFonts w:ascii="Calibri" w:hAnsi="Calibri" w:cs="Calibri"/>
          <w:b/>
          <w:bCs/>
          <w:sz w:val="20"/>
        </w:rPr>
        <w:t xml:space="preserve"> o</w:t>
      </w:r>
      <w:r w:rsidR="00FD05FD">
        <w:rPr>
          <w:rFonts w:ascii="Calibri" w:hAnsi="Calibri" w:cs="Calibri"/>
          <w:b/>
          <w:bCs/>
          <w:sz w:val="20"/>
        </w:rPr>
        <w:t xml:space="preserve"> téměř</w:t>
      </w:r>
      <w:r w:rsidR="009A515B">
        <w:rPr>
          <w:rFonts w:ascii="Calibri" w:hAnsi="Calibri" w:cs="Calibri"/>
          <w:b/>
          <w:bCs/>
          <w:sz w:val="20"/>
        </w:rPr>
        <w:t xml:space="preserve"> 1</w:t>
      </w:r>
      <w:r w:rsidR="00437356">
        <w:rPr>
          <w:rFonts w:ascii="Calibri" w:hAnsi="Calibri" w:cs="Calibri"/>
          <w:b/>
          <w:bCs/>
          <w:sz w:val="20"/>
        </w:rPr>
        <w:t xml:space="preserve"> </w:t>
      </w:r>
      <w:r w:rsidR="00ED1277">
        <w:rPr>
          <w:rFonts w:ascii="Calibri" w:hAnsi="Calibri" w:cs="Calibri"/>
          <w:b/>
          <w:bCs/>
          <w:sz w:val="20"/>
        </w:rPr>
        <w:t>p.</w:t>
      </w:r>
      <w:r w:rsidR="00C9766A">
        <w:rPr>
          <w:rFonts w:ascii="Calibri" w:hAnsi="Calibri" w:cs="Calibri"/>
          <w:b/>
          <w:bCs/>
          <w:sz w:val="20"/>
        </w:rPr>
        <w:t xml:space="preserve"> </w:t>
      </w:r>
      <w:r w:rsidR="00ED1277">
        <w:rPr>
          <w:rFonts w:ascii="Calibri" w:hAnsi="Calibri" w:cs="Calibri"/>
          <w:b/>
          <w:bCs/>
          <w:sz w:val="20"/>
        </w:rPr>
        <w:t>b</w:t>
      </w:r>
      <w:r w:rsidR="009A515B">
        <w:rPr>
          <w:rFonts w:ascii="Calibri" w:hAnsi="Calibri" w:cs="Calibri"/>
          <w:b/>
          <w:bCs/>
          <w:sz w:val="20"/>
        </w:rPr>
        <w:t xml:space="preserve">. </w:t>
      </w:r>
      <w:r w:rsidR="0005493C">
        <w:rPr>
          <w:rFonts w:ascii="Calibri" w:hAnsi="Calibri" w:cs="Calibri"/>
          <w:sz w:val="20"/>
        </w:rPr>
        <w:t>P</w:t>
      </w:r>
      <w:r w:rsidR="00D168FB" w:rsidRPr="00926110">
        <w:rPr>
          <w:rFonts w:ascii="Calibri" w:hAnsi="Calibri" w:cs="Calibri"/>
          <w:sz w:val="20"/>
        </w:rPr>
        <w:t xml:space="preserve">okles </w:t>
      </w:r>
      <w:r w:rsidR="009A515B">
        <w:rPr>
          <w:rFonts w:ascii="Calibri" w:hAnsi="Calibri" w:cs="Calibri"/>
          <w:sz w:val="20"/>
        </w:rPr>
        <w:t xml:space="preserve">deficitu v letošním roce </w:t>
      </w:r>
      <w:r w:rsidR="00D168FB" w:rsidRPr="00926110">
        <w:rPr>
          <w:rFonts w:ascii="Calibri" w:hAnsi="Calibri" w:cs="Calibri"/>
          <w:sz w:val="20"/>
        </w:rPr>
        <w:t xml:space="preserve">je dán kombinací odeznění jednorázových výdajů spojených s kompenzacemi </w:t>
      </w:r>
      <w:r w:rsidR="00C01FF9">
        <w:rPr>
          <w:rFonts w:ascii="Calibri" w:hAnsi="Calibri" w:cs="Calibri"/>
          <w:sz w:val="20"/>
        </w:rPr>
        <w:t xml:space="preserve">vysokých cen </w:t>
      </w:r>
      <w:r w:rsidR="00D168FB" w:rsidRPr="00926110">
        <w:rPr>
          <w:rFonts w:ascii="Calibri" w:hAnsi="Calibri" w:cs="Calibri"/>
          <w:sz w:val="20"/>
        </w:rPr>
        <w:t>energií</w:t>
      </w:r>
      <w:r w:rsidR="004C6901">
        <w:rPr>
          <w:rFonts w:ascii="Calibri" w:hAnsi="Calibri" w:cs="Calibri"/>
          <w:sz w:val="20"/>
        </w:rPr>
        <w:t xml:space="preserve">, </w:t>
      </w:r>
      <w:r w:rsidR="00D967BD">
        <w:rPr>
          <w:rFonts w:ascii="Calibri" w:hAnsi="Calibri" w:cs="Calibri"/>
          <w:sz w:val="20"/>
        </w:rPr>
        <w:t>mírného</w:t>
      </w:r>
      <w:r w:rsidR="00D168FB" w:rsidRPr="00926110">
        <w:rPr>
          <w:rFonts w:ascii="Calibri" w:hAnsi="Calibri" w:cs="Calibri"/>
          <w:sz w:val="20"/>
        </w:rPr>
        <w:t xml:space="preserve"> </w:t>
      </w:r>
      <w:r w:rsidR="00DF00E0" w:rsidRPr="00926110">
        <w:rPr>
          <w:rFonts w:ascii="Calibri" w:hAnsi="Calibri" w:cs="Calibri"/>
          <w:sz w:val="20"/>
        </w:rPr>
        <w:t>oživení</w:t>
      </w:r>
      <w:r w:rsidR="00D168FB" w:rsidRPr="00926110">
        <w:rPr>
          <w:rFonts w:ascii="Calibri" w:hAnsi="Calibri" w:cs="Calibri"/>
          <w:sz w:val="20"/>
        </w:rPr>
        <w:t xml:space="preserve"> tuzemské ekonomiky</w:t>
      </w:r>
      <w:r w:rsidR="004C6901">
        <w:rPr>
          <w:rFonts w:ascii="Calibri" w:hAnsi="Calibri" w:cs="Calibri"/>
          <w:sz w:val="20"/>
        </w:rPr>
        <w:t xml:space="preserve"> a </w:t>
      </w:r>
      <w:r w:rsidR="009A515B">
        <w:rPr>
          <w:rFonts w:ascii="Calibri" w:hAnsi="Calibri" w:cs="Calibri"/>
          <w:sz w:val="20"/>
        </w:rPr>
        <w:t xml:space="preserve">dopadu </w:t>
      </w:r>
      <w:r w:rsidR="004C6901">
        <w:rPr>
          <w:rFonts w:ascii="Calibri" w:hAnsi="Calibri" w:cs="Calibri"/>
          <w:sz w:val="20"/>
        </w:rPr>
        <w:t>konsolidační</w:t>
      </w:r>
      <w:r w:rsidR="00C01FF9">
        <w:rPr>
          <w:rFonts w:ascii="Calibri" w:hAnsi="Calibri" w:cs="Calibri"/>
          <w:sz w:val="20"/>
        </w:rPr>
        <w:t>ho</w:t>
      </w:r>
      <w:r w:rsidR="004C6901">
        <w:rPr>
          <w:rFonts w:ascii="Calibri" w:hAnsi="Calibri" w:cs="Calibri"/>
          <w:sz w:val="20"/>
        </w:rPr>
        <w:t xml:space="preserve"> balíčk</w:t>
      </w:r>
      <w:r w:rsidR="00C01FF9">
        <w:rPr>
          <w:rFonts w:ascii="Calibri" w:hAnsi="Calibri" w:cs="Calibri"/>
          <w:sz w:val="20"/>
        </w:rPr>
        <w:t>u</w:t>
      </w:r>
      <w:r w:rsidR="00D168FB" w:rsidRPr="00926110">
        <w:rPr>
          <w:rFonts w:ascii="Calibri" w:hAnsi="Calibri" w:cs="Calibri"/>
          <w:sz w:val="20"/>
        </w:rPr>
        <w:t xml:space="preserve">. </w:t>
      </w:r>
      <w:r w:rsidR="00350D3F">
        <w:rPr>
          <w:rFonts w:ascii="Calibri" w:hAnsi="Calibri" w:cs="Calibri"/>
          <w:sz w:val="20"/>
        </w:rPr>
        <w:t xml:space="preserve">Deficit pro rok příští se odhaduje poblíž 2% úrovně, což bude zejména důsledek očekávaného rychlejšího růstu tuzemské ekonomiky. Zadlužení vůči HDP </w:t>
      </w:r>
      <w:r w:rsidR="00FD05FD">
        <w:rPr>
          <w:rFonts w:ascii="Calibri" w:hAnsi="Calibri" w:cs="Calibri"/>
          <w:sz w:val="20"/>
        </w:rPr>
        <w:t xml:space="preserve">se pro letošní rok snížilo, což je </w:t>
      </w:r>
      <w:r w:rsidR="005071D2">
        <w:rPr>
          <w:rFonts w:ascii="Calibri" w:hAnsi="Calibri" w:cs="Calibri"/>
          <w:sz w:val="20"/>
        </w:rPr>
        <w:t xml:space="preserve">však </w:t>
      </w:r>
      <w:r w:rsidR="00FD05FD">
        <w:rPr>
          <w:rFonts w:ascii="Calibri" w:hAnsi="Calibri" w:cs="Calibri"/>
          <w:sz w:val="20"/>
        </w:rPr>
        <w:t>dáno i revizí HDP z konce čer</w:t>
      </w:r>
      <w:r w:rsidR="00F5228D">
        <w:rPr>
          <w:rFonts w:ascii="Calibri" w:hAnsi="Calibri" w:cs="Calibri"/>
          <w:sz w:val="20"/>
        </w:rPr>
        <w:t>v</w:t>
      </w:r>
      <w:r w:rsidR="00FD05FD">
        <w:rPr>
          <w:rFonts w:ascii="Calibri" w:hAnsi="Calibri" w:cs="Calibri"/>
          <w:sz w:val="20"/>
        </w:rPr>
        <w:t>na, která navýšila nominální úroveň HDP.</w:t>
      </w:r>
    </w:p>
    <w:p w14:paraId="451FC2CC" w14:textId="77777777" w:rsidR="00CF2169" w:rsidRDefault="00CF2169" w:rsidP="00247943">
      <w:pPr>
        <w:rPr>
          <w:rFonts w:ascii="Calibri" w:hAnsi="Calibri" w:cs="Calibri"/>
          <w:sz w:val="20"/>
        </w:rPr>
      </w:pPr>
    </w:p>
    <w:p w14:paraId="6A2F513C" w14:textId="6DC7DF24" w:rsidR="002D12BD" w:rsidRPr="00DD4A8E" w:rsidRDefault="006973A5" w:rsidP="00FD4088">
      <w:pPr>
        <w:rPr>
          <w:rFonts w:ascii="Calibri" w:hAnsi="Calibri" w:cs="Calibri"/>
          <w:b/>
          <w:color w:val="13576B"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>Úvěrový trh se</w:t>
      </w:r>
      <w:r w:rsidR="00044DB3">
        <w:rPr>
          <w:rFonts w:ascii="Calibri" w:hAnsi="Calibri" w:cs="Calibri"/>
          <w:b/>
          <w:color w:val="13576B"/>
          <w:sz w:val="22"/>
          <w:szCs w:val="22"/>
        </w:rPr>
        <w:t xml:space="preserve"> začátkem roku vyvíjí různorodě</w:t>
      </w:r>
      <w:r w:rsidR="00872B18">
        <w:rPr>
          <w:rFonts w:ascii="Calibri" w:hAnsi="Calibri" w:cs="Calibri"/>
          <w:b/>
          <w:color w:val="13576B"/>
          <w:sz w:val="22"/>
          <w:szCs w:val="22"/>
        </w:rPr>
        <w:t>, výrazněji rostou úvěry domácnostem</w:t>
      </w:r>
    </w:p>
    <w:p w14:paraId="3A26645E" w14:textId="4BFD9045" w:rsidR="00602381" w:rsidRPr="00872B18" w:rsidRDefault="00872B18" w:rsidP="00602381">
      <w:pPr>
        <w:rPr>
          <w:rFonts w:ascii="Calibri" w:hAnsi="Calibri" w:cs="Calibri"/>
          <w:b/>
          <w:bCs/>
          <w:sz w:val="20"/>
        </w:rPr>
      </w:pPr>
      <w:r w:rsidRPr="00872B18">
        <w:rPr>
          <w:rFonts w:ascii="Calibri" w:hAnsi="Calibri" w:cs="Calibri"/>
          <w:b/>
          <w:bCs/>
          <w:sz w:val="20"/>
        </w:rPr>
        <w:t xml:space="preserve">Za první polovinu roku dosáhl meziroční růst hypotečních úvěrů 85 %. </w:t>
      </w:r>
      <w:r w:rsidR="00582D22" w:rsidRPr="00582D22">
        <w:rPr>
          <w:rFonts w:ascii="Calibri" w:hAnsi="Calibri" w:cs="Calibri"/>
          <w:sz w:val="20"/>
        </w:rPr>
        <w:t>D</w:t>
      </w:r>
      <w:r w:rsidRPr="00872B18">
        <w:rPr>
          <w:rFonts w:ascii="Calibri" w:hAnsi="Calibri" w:cs="Calibri"/>
          <w:sz w:val="20"/>
        </w:rPr>
        <w:t xml:space="preserve">le oficiální statistiky ČNB </w:t>
      </w:r>
      <w:r w:rsidR="00582D22">
        <w:rPr>
          <w:rFonts w:ascii="Calibri" w:hAnsi="Calibri" w:cs="Calibri"/>
          <w:sz w:val="20"/>
        </w:rPr>
        <w:t xml:space="preserve">se v první polovině roku poskytly </w:t>
      </w:r>
      <w:r w:rsidRPr="00872B18">
        <w:rPr>
          <w:rFonts w:ascii="Calibri" w:hAnsi="Calibri" w:cs="Calibri"/>
          <w:sz w:val="20"/>
        </w:rPr>
        <w:t>skutečně nov</w:t>
      </w:r>
      <w:r w:rsidR="00582D22">
        <w:rPr>
          <w:rFonts w:ascii="Calibri" w:hAnsi="Calibri" w:cs="Calibri"/>
          <w:sz w:val="20"/>
        </w:rPr>
        <w:t xml:space="preserve">é </w:t>
      </w:r>
      <w:r w:rsidRPr="00872B18">
        <w:rPr>
          <w:rFonts w:ascii="Calibri" w:hAnsi="Calibri" w:cs="Calibri"/>
          <w:sz w:val="20"/>
        </w:rPr>
        <w:t>hypoték</w:t>
      </w:r>
      <w:r w:rsidR="00582D22">
        <w:rPr>
          <w:rFonts w:ascii="Calibri" w:hAnsi="Calibri" w:cs="Calibri"/>
          <w:sz w:val="20"/>
        </w:rPr>
        <w:t>y</w:t>
      </w:r>
      <w:r w:rsidRPr="00872B18">
        <w:rPr>
          <w:rFonts w:ascii="Calibri" w:hAnsi="Calibri" w:cs="Calibri"/>
          <w:sz w:val="20"/>
        </w:rPr>
        <w:t xml:space="preserve"> v objemu 89 mld. Kč</w:t>
      </w:r>
      <w:r w:rsidR="00582D22">
        <w:rPr>
          <w:rFonts w:ascii="Calibri" w:hAnsi="Calibri" w:cs="Calibri"/>
          <w:sz w:val="20"/>
        </w:rPr>
        <w:t>,</w:t>
      </w:r>
      <w:r w:rsidRPr="00872B18">
        <w:rPr>
          <w:rFonts w:ascii="Calibri" w:hAnsi="Calibri" w:cs="Calibri"/>
          <w:sz w:val="20"/>
        </w:rPr>
        <w:t xml:space="preserve"> což je stejný objem jako v tomtéž období roku 2018 a jen 7 mld. Kč pod úrovní první poloviny roku 2020. Data ČBA </w:t>
      </w:r>
      <w:proofErr w:type="spellStart"/>
      <w:r w:rsidRPr="00872B18">
        <w:rPr>
          <w:rFonts w:ascii="Calibri" w:hAnsi="Calibri" w:cs="Calibri"/>
          <w:sz w:val="20"/>
        </w:rPr>
        <w:t>Hypomonitoru</w:t>
      </w:r>
      <w:proofErr w:type="spellEnd"/>
      <w:r w:rsidRPr="00872B18">
        <w:rPr>
          <w:rFonts w:ascii="Calibri" w:hAnsi="Calibri" w:cs="Calibri"/>
          <w:sz w:val="20"/>
        </w:rPr>
        <w:t xml:space="preserve"> však ukazují, že z pohledu počtu poskytnutých hypoték byla první polovina letošního roku oproti roku 2020 stále o čtvrtinu slabší. Průměrná sazba u nově poskytnutých hypoték se dle statistiky ČNB nachází nepatrně nad 5% hranici, což je v souladu s daty ČBA </w:t>
      </w:r>
      <w:proofErr w:type="spellStart"/>
      <w:r w:rsidRPr="00872B18">
        <w:rPr>
          <w:rFonts w:ascii="Calibri" w:hAnsi="Calibri" w:cs="Calibri"/>
          <w:sz w:val="20"/>
        </w:rPr>
        <w:t>Hypomonitor</w:t>
      </w:r>
      <w:r w:rsidR="00582D22">
        <w:rPr>
          <w:rFonts w:ascii="Calibri" w:hAnsi="Calibri" w:cs="Calibri"/>
          <w:sz w:val="20"/>
        </w:rPr>
        <w:t>u</w:t>
      </w:r>
      <w:proofErr w:type="spellEnd"/>
      <w:r w:rsidRPr="00872B18">
        <w:rPr>
          <w:rFonts w:ascii="Calibri" w:hAnsi="Calibri" w:cs="Calibri"/>
          <w:sz w:val="20"/>
        </w:rPr>
        <w:t>.</w:t>
      </w:r>
    </w:p>
    <w:p w14:paraId="03D874C4" w14:textId="77777777" w:rsidR="00872B18" w:rsidRPr="00872B18" w:rsidRDefault="00872B18" w:rsidP="00602381">
      <w:pPr>
        <w:rPr>
          <w:rFonts w:ascii="Calibri" w:hAnsi="Calibri" w:cs="Calibri"/>
          <w:sz w:val="20"/>
        </w:rPr>
      </w:pPr>
    </w:p>
    <w:p w14:paraId="597DC5B3" w14:textId="2E461B5D" w:rsidR="00532363" w:rsidRPr="00872B18" w:rsidRDefault="005071D2" w:rsidP="00B4285D">
      <w:pPr>
        <w:rPr>
          <w:rFonts w:ascii="Calibri" w:hAnsi="Calibri" w:cs="Calibri"/>
          <w:sz w:val="20"/>
        </w:rPr>
      </w:pPr>
      <w:r w:rsidRPr="00872B18">
        <w:rPr>
          <w:rFonts w:ascii="Calibri" w:hAnsi="Calibri" w:cs="Calibri"/>
          <w:b/>
          <w:bCs/>
          <w:sz w:val="20"/>
        </w:rPr>
        <w:t xml:space="preserve">Za první polovinu roku objem nových spotřebitelských úvěrů vzrostl téměř o třetinu a dosáhl výše 67 mld. Kč. </w:t>
      </w:r>
      <w:r w:rsidRPr="00872B18">
        <w:rPr>
          <w:rFonts w:ascii="Calibri" w:hAnsi="Calibri" w:cs="Calibri"/>
          <w:sz w:val="20"/>
        </w:rPr>
        <w:t>Příznivý vývoj je dán zlepšující se příjmovou situací domácností, vyšší spotřebitelskou důvěrou a také potřebou vyššího financování z titulu inflačního vývoje posledních let. Průměrná úroková sazba u spotřebitelských úvěrů v červnu činila 9,1 %</w:t>
      </w:r>
      <w:r w:rsidR="00CA3354">
        <w:rPr>
          <w:rFonts w:ascii="Calibri" w:hAnsi="Calibri" w:cs="Calibri"/>
          <w:sz w:val="20"/>
        </w:rPr>
        <w:t>,</w:t>
      </w:r>
      <w:r w:rsidRPr="00872B18">
        <w:rPr>
          <w:rFonts w:ascii="Calibri" w:hAnsi="Calibri" w:cs="Calibri"/>
          <w:sz w:val="20"/>
        </w:rPr>
        <w:t xml:space="preserve"> a je tak o půl procentního bodu nižší než před rokem.</w:t>
      </w:r>
    </w:p>
    <w:p w14:paraId="259876B3" w14:textId="77777777" w:rsidR="005071D2" w:rsidRPr="00872B18" w:rsidRDefault="005071D2" w:rsidP="00B4285D">
      <w:pPr>
        <w:rPr>
          <w:rFonts w:ascii="Calibri" w:hAnsi="Calibri" w:cs="Calibri"/>
          <w:sz w:val="20"/>
        </w:rPr>
      </w:pPr>
    </w:p>
    <w:p w14:paraId="0998E184" w14:textId="40032C62" w:rsidR="009808F6" w:rsidRPr="00044DB3" w:rsidRDefault="009331BD" w:rsidP="00B4285D">
      <w:pPr>
        <w:rPr>
          <w:rFonts w:ascii="Calibri" w:hAnsi="Calibri" w:cs="Calibri"/>
          <w:sz w:val="20"/>
        </w:rPr>
      </w:pPr>
      <w:r w:rsidRPr="00872B18">
        <w:rPr>
          <w:rFonts w:ascii="Calibri" w:hAnsi="Calibri" w:cs="Calibri"/>
          <w:b/>
          <w:bCs/>
          <w:sz w:val="20"/>
        </w:rPr>
        <w:t>Nov</w:t>
      </w:r>
      <w:r w:rsidR="00AA0055" w:rsidRPr="00872B18">
        <w:rPr>
          <w:rFonts w:ascii="Calibri" w:hAnsi="Calibri" w:cs="Calibri"/>
          <w:b/>
          <w:bCs/>
          <w:sz w:val="20"/>
        </w:rPr>
        <w:t xml:space="preserve">ě poskytnuté </w:t>
      </w:r>
      <w:r w:rsidRPr="00872B18">
        <w:rPr>
          <w:rFonts w:ascii="Calibri" w:hAnsi="Calibri" w:cs="Calibri"/>
          <w:b/>
          <w:bCs/>
          <w:sz w:val="20"/>
        </w:rPr>
        <w:t xml:space="preserve">úvěry podnikům </w:t>
      </w:r>
      <w:r w:rsidR="005071D2" w:rsidRPr="00872B18">
        <w:rPr>
          <w:rFonts w:ascii="Calibri" w:hAnsi="Calibri" w:cs="Calibri"/>
          <w:b/>
          <w:bCs/>
          <w:sz w:val="20"/>
        </w:rPr>
        <w:t>za první polovinu roku vzrostl o 5,4 %, z toho 4 % v případě korunových a 6,6 % v případě eurových úvěrů</w:t>
      </w:r>
      <w:r w:rsidR="005071D2" w:rsidRPr="00872B18">
        <w:rPr>
          <w:rFonts w:ascii="Calibri" w:hAnsi="Calibri" w:cs="Calibri"/>
          <w:sz w:val="20"/>
        </w:rPr>
        <w:t xml:space="preserve">. Nově poskytnuté úvěry podnikům byly v první polovině letošního roku rozděleny rovným dílem mezi korunové a eurové. Úroková sazba u korunových úvěrů činila </w:t>
      </w:r>
      <w:r w:rsidR="00582D22">
        <w:rPr>
          <w:rFonts w:ascii="Calibri" w:hAnsi="Calibri" w:cs="Calibri"/>
          <w:sz w:val="20"/>
        </w:rPr>
        <w:t xml:space="preserve">v červnu </w:t>
      </w:r>
      <w:r w:rsidR="005071D2" w:rsidRPr="00872B18">
        <w:rPr>
          <w:rFonts w:ascii="Calibri" w:hAnsi="Calibri" w:cs="Calibri"/>
          <w:sz w:val="20"/>
        </w:rPr>
        <w:t xml:space="preserve">6,7 % a byla o více než </w:t>
      </w:r>
      <w:proofErr w:type="gramStart"/>
      <w:r w:rsidR="005071D2" w:rsidRPr="00872B18">
        <w:rPr>
          <w:rFonts w:ascii="Calibri" w:hAnsi="Calibri" w:cs="Calibri"/>
          <w:sz w:val="20"/>
        </w:rPr>
        <w:t>2 procentní</w:t>
      </w:r>
      <w:proofErr w:type="gramEnd"/>
      <w:r w:rsidR="005071D2" w:rsidRPr="00872B18">
        <w:rPr>
          <w:rFonts w:ascii="Calibri" w:hAnsi="Calibri" w:cs="Calibri"/>
          <w:sz w:val="20"/>
        </w:rPr>
        <w:t xml:space="preserve"> body nižší než před rokem, úroková sazba eurových úvěrů dosáhla 5,2 % a vzhledem k vývoji eurových úrokových sazeb klesá jen pozvolna (5,6 % před rokem). </w:t>
      </w:r>
      <w:r w:rsidR="002C1871" w:rsidRPr="00872B18">
        <w:rPr>
          <w:rFonts w:ascii="Calibri" w:hAnsi="Calibri" w:cs="Calibri"/>
          <w:sz w:val="20"/>
        </w:rPr>
        <w:t xml:space="preserve">Podíl nových korporátních úvěrů v eurech v roce 2023 </w:t>
      </w:r>
      <w:r w:rsidR="00A50114" w:rsidRPr="00872B18">
        <w:rPr>
          <w:rFonts w:ascii="Calibri" w:hAnsi="Calibri" w:cs="Calibri"/>
          <w:sz w:val="20"/>
        </w:rPr>
        <w:t xml:space="preserve">poprvé </w:t>
      </w:r>
      <w:r w:rsidR="004E3E95" w:rsidRPr="00872B18">
        <w:rPr>
          <w:rFonts w:ascii="Calibri" w:hAnsi="Calibri" w:cs="Calibri"/>
          <w:sz w:val="20"/>
        </w:rPr>
        <w:t xml:space="preserve">mírně </w:t>
      </w:r>
      <w:r w:rsidR="00A50114" w:rsidRPr="00872B18">
        <w:rPr>
          <w:rFonts w:ascii="Calibri" w:hAnsi="Calibri" w:cs="Calibri"/>
          <w:sz w:val="20"/>
        </w:rPr>
        <w:t>přesáhl hranici 50 % (</w:t>
      </w:r>
      <w:r w:rsidR="002C1871" w:rsidRPr="00872B18">
        <w:rPr>
          <w:rFonts w:ascii="Calibri" w:hAnsi="Calibri" w:cs="Calibri"/>
          <w:sz w:val="20"/>
        </w:rPr>
        <w:t>51,3 %</w:t>
      </w:r>
      <w:r w:rsidR="00A50114" w:rsidRPr="00872B18">
        <w:rPr>
          <w:rFonts w:ascii="Calibri" w:hAnsi="Calibri" w:cs="Calibri"/>
          <w:sz w:val="20"/>
        </w:rPr>
        <w:t>)</w:t>
      </w:r>
      <w:r w:rsidR="00632A2F" w:rsidRPr="00872B18">
        <w:rPr>
          <w:rFonts w:ascii="Calibri" w:hAnsi="Calibri" w:cs="Calibri"/>
          <w:sz w:val="20"/>
        </w:rPr>
        <w:t>,</w:t>
      </w:r>
      <w:r w:rsidR="00602E5F" w:rsidRPr="00872B18">
        <w:rPr>
          <w:rFonts w:ascii="Calibri" w:hAnsi="Calibri" w:cs="Calibri"/>
          <w:sz w:val="20"/>
        </w:rPr>
        <w:t xml:space="preserve"> </w:t>
      </w:r>
      <w:r w:rsidR="00632A2F" w:rsidRPr="00872B18">
        <w:rPr>
          <w:rFonts w:ascii="Calibri" w:hAnsi="Calibri" w:cs="Calibri"/>
          <w:sz w:val="20"/>
        </w:rPr>
        <w:t xml:space="preserve">zatímco </w:t>
      </w:r>
      <w:r w:rsidR="002C1871" w:rsidRPr="00872B18">
        <w:rPr>
          <w:rFonts w:ascii="Calibri" w:hAnsi="Calibri" w:cs="Calibri"/>
          <w:sz w:val="20"/>
        </w:rPr>
        <w:t xml:space="preserve">v roce 2022 </w:t>
      </w:r>
      <w:r w:rsidR="00632A2F" w:rsidRPr="00872B18">
        <w:rPr>
          <w:rFonts w:ascii="Calibri" w:hAnsi="Calibri" w:cs="Calibri"/>
          <w:sz w:val="20"/>
        </w:rPr>
        <w:t xml:space="preserve">činil </w:t>
      </w:r>
      <w:r w:rsidR="002C1871" w:rsidRPr="00872B18">
        <w:rPr>
          <w:rFonts w:ascii="Calibri" w:hAnsi="Calibri" w:cs="Calibri"/>
          <w:sz w:val="20"/>
        </w:rPr>
        <w:t>47,4 %</w:t>
      </w:r>
      <w:r w:rsidR="00632A2F" w:rsidRPr="00872B18">
        <w:rPr>
          <w:rFonts w:ascii="Calibri" w:hAnsi="Calibri" w:cs="Calibri"/>
          <w:sz w:val="20"/>
        </w:rPr>
        <w:t xml:space="preserve"> a p</w:t>
      </w:r>
      <w:r w:rsidR="002C1871" w:rsidRPr="00872B18">
        <w:rPr>
          <w:rFonts w:ascii="Calibri" w:hAnsi="Calibri" w:cs="Calibri"/>
          <w:sz w:val="20"/>
        </w:rPr>
        <w:t>růměr let 2014</w:t>
      </w:r>
      <w:r w:rsidR="00635DD9" w:rsidRPr="00872B18">
        <w:rPr>
          <w:rFonts w:ascii="Calibri" w:hAnsi="Calibri" w:cs="Calibri"/>
          <w:sz w:val="20"/>
        </w:rPr>
        <w:t>–</w:t>
      </w:r>
      <w:r w:rsidR="002C1871" w:rsidRPr="00872B18">
        <w:rPr>
          <w:rFonts w:ascii="Calibri" w:hAnsi="Calibri" w:cs="Calibri"/>
          <w:sz w:val="20"/>
        </w:rPr>
        <w:t>2021</w:t>
      </w:r>
      <w:r w:rsidR="00632A2F" w:rsidRPr="00872B18">
        <w:rPr>
          <w:rFonts w:ascii="Calibri" w:hAnsi="Calibri" w:cs="Calibri"/>
          <w:sz w:val="20"/>
        </w:rPr>
        <w:t xml:space="preserve"> se pohyboval kolem 30 %</w:t>
      </w:r>
      <w:r w:rsidR="009A6859" w:rsidRPr="00872B18">
        <w:rPr>
          <w:rFonts w:ascii="Calibri" w:hAnsi="Calibri" w:cs="Calibri"/>
          <w:sz w:val="20"/>
        </w:rPr>
        <w:t>.</w:t>
      </w:r>
      <w:r w:rsidR="00602E5F" w:rsidRPr="00044DB3">
        <w:rPr>
          <w:rFonts w:ascii="Calibri" w:hAnsi="Calibri" w:cs="Calibri"/>
          <w:sz w:val="20"/>
        </w:rPr>
        <w:t xml:space="preserve"> </w:t>
      </w:r>
    </w:p>
    <w:p w14:paraId="0A3D0904" w14:textId="77777777" w:rsidR="0044304B" w:rsidRPr="00044DB3" w:rsidRDefault="0044304B" w:rsidP="00B4285D">
      <w:pPr>
        <w:rPr>
          <w:rFonts w:ascii="Calibri" w:hAnsi="Calibri" w:cs="Calibri"/>
          <w:sz w:val="20"/>
        </w:rPr>
      </w:pPr>
    </w:p>
    <w:p w14:paraId="02D1F126" w14:textId="30ADB7D6" w:rsidR="00B63AFC" w:rsidRDefault="00B63AFC" w:rsidP="00B4285D">
      <w:pPr>
        <w:rPr>
          <w:rFonts w:ascii="Calibri" w:hAnsi="Calibri" w:cs="Calibri"/>
          <w:sz w:val="20"/>
        </w:rPr>
      </w:pPr>
      <w:r w:rsidRPr="00044DB3">
        <w:rPr>
          <w:rFonts w:ascii="Calibri" w:hAnsi="Calibri" w:cs="Calibri"/>
          <w:b/>
          <w:bCs/>
          <w:sz w:val="20"/>
        </w:rPr>
        <w:t>Růst vklad</w:t>
      </w:r>
      <w:r w:rsidR="00602381" w:rsidRPr="00044DB3">
        <w:rPr>
          <w:rFonts w:ascii="Calibri" w:hAnsi="Calibri" w:cs="Calibri"/>
          <w:b/>
          <w:bCs/>
          <w:sz w:val="20"/>
        </w:rPr>
        <w:t>ů</w:t>
      </w:r>
      <w:r w:rsidRPr="00044DB3">
        <w:rPr>
          <w:rFonts w:ascii="Calibri" w:hAnsi="Calibri" w:cs="Calibri"/>
          <w:b/>
          <w:bCs/>
          <w:sz w:val="20"/>
        </w:rPr>
        <w:t xml:space="preserve"> </w:t>
      </w:r>
      <w:r w:rsidR="00602381" w:rsidRPr="00044DB3">
        <w:rPr>
          <w:rFonts w:ascii="Calibri" w:hAnsi="Calibri" w:cs="Calibri"/>
          <w:b/>
          <w:bCs/>
          <w:sz w:val="20"/>
        </w:rPr>
        <w:t>v </w:t>
      </w:r>
      <w:r w:rsidR="00872B18">
        <w:rPr>
          <w:rFonts w:ascii="Calibri" w:hAnsi="Calibri" w:cs="Calibri"/>
          <w:b/>
          <w:bCs/>
          <w:sz w:val="20"/>
        </w:rPr>
        <w:t>druhém</w:t>
      </w:r>
      <w:r w:rsidR="00602381" w:rsidRPr="00044DB3">
        <w:rPr>
          <w:rFonts w:ascii="Calibri" w:hAnsi="Calibri" w:cs="Calibri"/>
          <w:b/>
          <w:bCs/>
          <w:sz w:val="20"/>
        </w:rPr>
        <w:t xml:space="preserve"> čtvrtletí letošního roku </w:t>
      </w:r>
      <w:r w:rsidR="00872B18">
        <w:rPr>
          <w:rFonts w:ascii="Calibri" w:hAnsi="Calibri" w:cs="Calibri"/>
          <w:b/>
          <w:bCs/>
          <w:sz w:val="20"/>
        </w:rPr>
        <w:t>oproti 1. čtvrtletí nepatrně zvolnil, a to z 8 na 7,3 %.</w:t>
      </w:r>
      <w:r w:rsidR="00602381" w:rsidRPr="00044DB3">
        <w:rPr>
          <w:rFonts w:ascii="Calibri" w:hAnsi="Calibri" w:cs="Calibri"/>
          <w:sz w:val="20"/>
        </w:rPr>
        <w:t xml:space="preserve"> V případě domácností </w:t>
      </w:r>
      <w:r w:rsidR="00872B18">
        <w:rPr>
          <w:rFonts w:ascii="Calibri" w:hAnsi="Calibri" w:cs="Calibri"/>
          <w:sz w:val="20"/>
        </w:rPr>
        <w:t xml:space="preserve">však pokračoval růst v tempu 8,4 %. </w:t>
      </w:r>
      <w:r w:rsidR="00602381" w:rsidRPr="00044DB3">
        <w:rPr>
          <w:rFonts w:ascii="Calibri" w:hAnsi="Calibri" w:cs="Calibri"/>
          <w:sz w:val="20"/>
        </w:rPr>
        <w:t>Vzhledem k tomu že z</w:t>
      </w:r>
      <w:r w:rsidRPr="00044DB3">
        <w:rPr>
          <w:rFonts w:ascii="Calibri" w:hAnsi="Calibri" w:cs="Calibri"/>
          <w:sz w:val="20"/>
        </w:rPr>
        <w:t>hruba třetina z růstu vkladů domácnost</w:t>
      </w:r>
      <w:r w:rsidR="00DF32E5">
        <w:rPr>
          <w:rFonts w:ascii="Calibri" w:hAnsi="Calibri" w:cs="Calibri"/>
          <w:sz w:val="20"/>
        </w:rPr>
        <w:t>í</w:t>
      </w:r>
      <w:r w:rsidRPr="00044DB3">
        <w:rPr>
          <w:rFonts w:ascii="Calibri" w:hAnsi="Calibri" w:cs="Calibri"/>
          <w:sz w:val="20"/>
        </w:rPr>
        <w:t xml:space="preserve"> v loňském roce byla tvořena úrokovými výnosy</w:t>
      </w:r>
      <w:r w:rsidR="00602381" w:rsidRPr="00044DB3">
        <w:rPr>
          <w:rFonts w:ascii="Calibri" w:hAnsi="Calibri" w:cs="Calibri"/>
          <w:sz w:val="20"/>
        </w:rPr>
        <w:t>, lze očekávat, že s poklesem úrokových sazeb ČNB bude meziroční dynamika vkladů zpomalovat.</w:t>
      </w:r>
      <w:r w:rsidR="00602381">
        <w:rPr>
          <w:rFonts w:ascii="Calibri" w:hAnsi="Calibri" w:cs="Calibri"/>
          <w:sz w:val="20"/>
        </w:rPr>
        <w:t xml:space="preserve"> </w:t>
      </w:r>
    </w:p>
    <w:p w14:paraId="3EF8A742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70AC83F7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77F50BA4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5A66E61F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1853F3CC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4A136983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1FF96A96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08C834B4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5A4D167C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5C165697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30CC6F39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2EAB223B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3033EA3D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5AA039FF" w14:textId="4FDDE505" w:rsidR="00FC1601" w:rsidRDefault="00C93158" w:rsidP="00B4285D">
      <w:pPr>
        <w:rPr>
          <w:rFonts w:ascii="Calibri" w:hAnsi="Calibri" w:cs="Calibri"/>
          <w:b/>
          <w:color w:val="13576B"/>
          <w:sz w:val="22"/>
          <w:szCs w:val="22"/>
        </w:rPr>
      </w:pPr>
      <w:r w:rsidRPr="00AD0B10">
        <w:rPr>
          <w:rFonts w:ascii="Calibri" w:hAnsi="Calibri" w:cs="Calibri"/>
          <w:b/>
          <w:color w:val="13576B"/>
          <w:sz w:val="22"/>
          <w:szCs w:val="22"/>
        </w:rPr>
        <w:t>Makroekonomická prognóza ČBA v</w:t>
      </w:r>
      <w:r w:rsidR="00FC1884">
        <w:rPr>
          <w:rFonts w:ascii="Calibri" w:hAnsi="Calibri" w:cs="Calibri"/>
          <w:b/>
          <w:color w:val="13576B"/>
          <w:sz w:val="22"/>
          <w:szCs w:val="22"/>
        </w:rPr>
        <w:t> </w:t>
      </w:r>
      <w:r w:rsidRPr="00AD0B10">
        <w:rPr>
          <w:rFonts w:ascii="Calibri" w:hAnsi="Calibri" w:cs="Calibri"/>
          <w:b/>
          <w:color w:val="13576B"/>
          <w:sz w:val="22"/>
          <w:szCs w:val="22"/>
        </w:rPr>
        <w:t>číslech</w:t>
      </w:r>
      <w:r w:rsidR="00FC1884">
        <w:rPr>
          <w:rFonts w:ascii="Calibri" w:hAnsi="Calibri" w:cs="Calibri"/>
          <w:b/>
          <w:color w:val="13576B"/>
          <w:sz w:val="22"/>
          <w:szCs w:val="22"/>
        </w:rPr>
        <w:t>:</w:t>
      </w:r>
    </w:p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680"/>
        <w:gridCol w:w="680"/>
        <w:gridCol w:w="680"/>
      </w:tblGrid>
      <w:tr w:rsidR="00743530" w:rsidRPr="00743530" w14:paraId="60D62E88" w14:textId="77777777" w:rsidTr="00743530">
        <w:trPr>
          <w:trHeight w:val="225"/>
        </w:trPr>
        <w:tc>
          <w:tcPr>
            <w:tcW w:w="4720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7CE6FD0" w14:textId="77777777" w:rsidR="00743530" w:rsidRPr="00743530" w:rsidRDefault="00743530" w:rsidP="007435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Ukazatel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75A47C37" w14:textId="03911F29" w:rsidR="00743530" w:rsidRPr="00743530" w:rsidRDefault="00743530" w:rsidP="007435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202</w:t>
            </w:r>
            <w:r w:rsidR="00437356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423E3B46" w14:textId="4C9BD6EB" w:rsidR="00743530" w:rsidRPr="00743530" w:rsidRDefault="00743530" w:rsidP="007435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202</w:t>
            </w:r>
            <w:r w:rsidR="00437356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874B87B" w14:textId="7D8683F9" w:rsidR="00743530" w:rsidRPr="00743530" w:rsidRDefault="00743530" w:rsidP="007435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202</w:t>
            </w:r>
            <w:r w:rsidR="00437356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5</w:t>
            </w:r>
          </w:p>
        </w:tc>
      </w:tr>
      <w:tr w:rsidR="00743530" w:rsidRPr="00743530" w14:paraId="47415891" w14:textId="77777777" w:rsidTr="0018297A">
        <w:trPr>
          <w:trHeight w:val="28"/>
        </w:trPr>
        <w:tc>
          <w:tcPr>
            <w:tcW w:w="4720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3C40E2C" w14:textId="77777777" w:rsidR="00743530" w:rsidRPr="00743530" w:rsidRDefault="00743530" w:rsidP="007435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3605DA3" w14:textId="77777777" w:rsidR="00743530" w:rsidRPr="00743530" w:rsidRDefault="00743530" w:rsidP="007435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02F52424" w14:textId="77777777" w:rsidR="00743530" w:rsidRPr="00743530" w:rsidRDefault="00743530" w:rsidP="007435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178181A" w14:textId="77777777" w:rsidR="00743530" w:rsidRPr="00743530" w:rsidRDefault="00743530" w:rsidP="007435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 </w:t>
            </w:r>
          </w:p>
        </w:tc>
      </w:tr>
      <w:tr w:rsidR="005071D2" w:rsidRPr="00743530" w14:paraId="044CFE1A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30EF8938" w14:textId="77777777" w:rsidR="005071D2" w:rsidRPr="00743530" w:rsidRDefault="005071D2" w:rsidP="005071D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reálného HDP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06FFB50" w14:textId="67C507FF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0.0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3092154" w14:textId="3F476B2D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0.9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0505154" w14:textId="15C355E8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2.7</w:t>
            </w:r>
          </w:p>
        </w:tc>
      </w:tr>
      <w:tr w:rsidR="005071D2" w:rsidRPr="00743530" w14:paraId="707DEC5D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8BCE538" w14:textId="77777777" w:rsidR="005071D2" w:rsidRPr="00743530" w:rsidRDefault="005071D2" w:rsidP="005071D2">
            <w:pPr>
              <w:overflowPunct/>
              <w:autoSpaceDE/>
              <w:autoSpaceDN/>
              <w:adjustRightInd/>
              <w:ind w:firstLineChars="100" w:firstLine="20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spotřeby domácností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1B24A8C" w14:textId="42866A3B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-2.9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FE28EFC" w14:textId="354C8CA9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194473E" w14:textId="72E176EC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3.0</w:t>
            </w:r>
          </w:p>
        </w:tc>
      </w:tr>
      <w:tr w:rsidR="005071D2" w:rsidRPr="00743530" w14:paraId="028F0641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29E199A2" w14:textId="77777777" w:rsidR="005071D2" w:rsidRPr="00743530" w:rsidRDefault="005071D2" w:rsidP="005071D2">
            <w:pPr>
              <w:overflowPunct/>
              <w:autoSpaceDE/>
              <w:autoSpaceDN/>
              <w:adjustRightInd/>
              <w:ind w:firstLineChars="100" w:firstLine="20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vládní spotřeby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ECF9A6B" w14:textId="5ADF5611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3.5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D63C80D" w14:textId="22E36E1D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7FE51A5" w14:textId="58634C87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1.5</w:t>
            </w:r>
          </w:p>
        </w:tc>
      </w:tr>
      <w:tr w:rsidR="005071D2" w:rsidRPr="00743530" w14:paraId="73DC9EC3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43EFA0E3" w14:textId="77777777" w:rsidR="005071D2" w:rsidRPr="00743530" w:rsidRDefault="005071D2" w:rsidP="005071D2">
            <w:pPr>
              <w:overflowPunct/>
              <w:autoSpaceDE/>
              <w:autoSpaceDN/>
              <w:adjustRightInd/>
              <w:ind w:firstLineChars="100" w:firstLine="20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investic (bez zásob, 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AFC03ED" w14:textId="4754CA40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2.7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12F7551" w14:textId="15EBBF77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0.0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4B44C36" w14:textId="4051D303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3.3</w:t>
            </w:r>
          </w:p>
        </w:tc>
      </w:tr>
      <w:tr w:rsidR="005071D2" w:rsidRPr="00743530" w14:paraId="38CECFC0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71C3954C" w14:textId="77777777" w:rsidR="005071D2" w:rsidRPr="00743530" w:rsidRDefault="005071D2" w:rsidP="005071D2">
            <w:pPr>
              <w:overflowPunct/>
              <w:autoSpaceDE/>
              <w:autoSpaceDN/>
              <w:adjustRightInd/>
              <w:ind w:firstLineChars="100" w:firstLine="20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 xml:space="preserve">Růst vývozů (%)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7438B8D" w14:textId="3F1BFA15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3.0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54DA5AB" w14:textId="0743DD72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ED97E4B" w14:textId="1352DBCB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4.5</w:t>
            </w:r>
          </w:p>
        </w:tc>
      </w:tr>
      <w:tr w:rsidR="005071D2" w:rsidRPr="00743530" w14:paraId="515AAEEA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7104BDAE" w14:textId="77777777" w:rsidR="005071D2" w:rsidRPr="00743530" w:rsidRDefault="005071D2" w:rsidP="005071D2">
            <w:pPr>
              <w:overflowPunct/>
              <w:autoSpaceDE/>
              <w:autoSpaceDN/>
              <w:adjustRightInd/>
              <w:ind w:firstLineChars="100" w:firstLine="20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dovozů (%)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DEDC09C" w14:textId="208BEA8C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-0.6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502F904" w14:textId="6AFC68E8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E17C7D9" w14:textId="7E9C3B6F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4.5</w:t>
            </w:r>
          </w:p>
        </w:tc>
      </w:tr>
      <w:tr w:rsidR="005071D2" w:rsidRPr="00743530" w14:paraId="0DC3A4B1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EF5341B" w14:textId="77777777" w:rsidR="005071D2" w:rsidRPr="00743530" w:rsidRDefault="005071D2" w:rsidP="005071D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Míra inflace: CPI (%) průměr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FDCB544" w14:textId="2171EB0C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10.7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122DA28" w14:textId="4D8B2C3E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117EBF4" w14:textId="3244F5B1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2.2</w:t>
            </w:r>
          </w:p>
        </w:tc>
      </w:tr>
      <w:tr w:rsidR="005071D2" w:rsidRPr="00743530" w14:paraId="6E4F03DF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2591E4DC" w14:textId="77777777" w:rsidR="005071D2" w:rsidRPr="00743530" w:rsidRDefault="005071D2" w:rsidP="005071D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Míra inflace: CPI (%) konec roku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90580A2" w14:textId="7821E7BC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6.9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324AB99" w14:textId="49C34FDE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0D7B533" w14:textId="5E5FACD5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2.3</w:t>
            </w:r>
          </w:p>
        </w:tc>
      </w:tr>
      <w:tr w:rsidR="005071D2" w:rsidRPr="00743530" w14:paraId="0DE3628B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8547181" w14:textId="77777777" w:rsidR="005071D2" w:rsidRPr="00743530" w:rsidRDefault="005071D2" w:rsidP="005071D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Podíl nezaměstnaných osob (MPSV): průměr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A935209" w14:textId="31EF8DA4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3.6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0BED386" w14:textId="48BECC4B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3C5949F" w14:textId="353CFDD0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3.8</w:t>
            </w:r>
          </w:p>
        </w:tc>
      </w:tr>
      <w:tr w:rsidR="005071D2" w:rsidRPr="00743530" w14:paraId="38BAB062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7482C9C" w14:textId="77777777" w:rsidR="005071D2" w:rsidRPr="00743530" w:rsidRDefault="005071D2" w:rsidP="005071D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Průměrná nominální mzda (růst v 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6E44CC3" w14:textId="157605C8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F61CADB" w14:textId="0422224A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6.8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5AFEA42" w14:textId="48B34556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5.4</w:t>
            </w:r>
          </w:p>
        </w:tc>
      </w:tr>
      <w:tr w:rsidR="005071D2" w:rsidRPr="00743530" w14:paraId="242798A9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D0D613C" w14:textId="77777777" w:rsidR="005071D2" w:rsidRPr="00743530" w:rsidRDefault="005071D2" w:rsidP="005071D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Průměrná reálná mzda (%)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5583F7F" w14:textId="31D5EE86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-2.4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588B8FD" w14:textId="79C63A44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92D912F" w14:textId="1DFB1DFF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3.1</w:t>
            </w:r>
          </w:p>
        </w:tc>
      </w:tr>
      <w:tr w:rsidR="005071D2" w:rsidRPr="00743530" w14:paraId="70256837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E18440B" w14:textId="77777777" w:rsidR="005071D2" w:rsidRPr="00743530" w:rsidRDefault="005071D2" w:rsidP="005071D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Vládní deficit/přebytek (% HDP)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3F719C3" w14:textId="214E5E20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-3.5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9A4176B" w14:textId="3066E343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-2.7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7234BF3" w14:textId="28010EE6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-2.3</w:t>
            </w:r>
          </w:p>
        </w:tc>
      </w:tr>
      <w:tr w:rsidR="005071D2" w:rsidRPr="00743530" w14:paraId="74A8DC91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61BF5FF" w14:textId="77777777" w:rsidR="005071D2" w:rsidRPr="00743530" w:rsidRDefault="005071D2" w:rsidP="005071D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 xml:space="preserve">Vládní dluh (% HDP)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9B926C1" w14:textId="20744249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42.4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F10A244" w14:textId="02F191D4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44.0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C2DD09D" w14:textId="6D3648C5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45.1</w:t>
            </w:r>
          </w:p>
        </w:tc>
      </w:tr>
      <w:tr w:rsidR="005071D2" w:rsidRPr="00743530" w14:paraId="65F307F0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0D229619" w14:textId="77777777" w:rsidR="005071D2" w:rsidRPr="00743530" w:rsidRDefault="005071D2" w:rsidP="005071D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 xml:space="preserve">Základní sazba ČNB </w:t>
            </w:r>
            <w:proofErr w:type="gramStart"/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2T</w:t>
            </w:r>
            <w:proofErr w:type="gramEnd"/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 xml:space="preserve"> REPO (%): konec období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2E4F475" w14:textId="51D38EE3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6.75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482E8E6" w14:textId="52D830ED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D2D8278" w14:textId="237E822D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3.50</w:t>
            </w:r>
          </w:p>
        </w:tc>
      </w:tr>
      <w:tr w:rsidR="005071D2" w:rsidRPr="00743530" w14:paraId="2336A020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378473EE" w14:textId="77777777" w:rsidR="005071D2" w:rsidRPr="00743530" w:rsidRDefault="005071D2" w:rsidP="005071D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3M-PRIBOR (%): průměr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F6040F5" w14:textId="1A2A82F8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7.12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AA8EC7D" w14:textId="4F39E445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D85706C" w14:textId="725E801F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3.60</w:t>
            </w:r>
          </w:p>
        </w:tc>
      </w:tr>
      <w:tr w:rsidR="005071D2" w:rsidRPr="00743530" w14:paraId="198C040A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01A9AAA5" w14:textId="77777777" w:rsidR="005071D2" w:rsidRPr="00743530" w:rsidRDefault="005071D2" w:rsidP="005071D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Výnos 10letého vládního dluhopisu (%): průměr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5042633" w14:textId="1EBB235C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4.50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B3A5D73" w14:textId="4C90C6F9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91FF1CC" w14:textId="26CBDFC7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3.83</w:t>
            </w:r>
          </w:p>
        </w:tc>
      </w:tr>
      <w:tr w:rsidR="005071D2" w:rsidRPr="00743530" w14:paraId="120C9020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2B83C0CF" w14:textId="77777777" w:rsidR="005071D2" w:rsidRPr="00743530" w:rsidRDefault="005071D2" w:rsidP="005071D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Základní sazba ECB (%): konec období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888A27B" w14:textId="26124817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4.50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CCE4E5B" w14:textId="756BC39C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1A0D4B3" w14:textId="1BC257EB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2.65</w:t>
            </w:r>
          </w:p>
        </w:tc>
      </w:tr>
      <w:tr w:rsidR="005071D2" w:rsidRPr="00743530" w14:paraId="1D98EB59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0701DED7" w14:textId="77777777" w:rsidR="005071D2" w:rsidRPr="00743530" w:rsidRDefault="005071D2" w:rsidP="005071D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Kurz CZK/EUR: průměr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DCE9A75" w14:textId="4736C699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24.00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A08737A" w14:textId="5C319242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25.08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142E005" w14:textId="3C240F3F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24.66</w:t>
            </w:r>
          </w:p>
        </w:tc>
      </w:tr>
      <w:tr w:rsidR="005071D2" w:rsidRPr="00743530" w14:paraId="6F368A67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0E896C68" w14:textId="77777777" w:rsidR="005071D2" w:rsidRPr="00743530" w:rsidRDefault="005071D2" w:rsidP="005071D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Kurz CZK/EUR: konec roku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91098AA" w14:textId="46E8B98A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24.70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CBD8528" w14:textId="74A16F29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24.96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DAA0961" w14:textId="5A55F2EA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24.47</w:t>
            </w:r>
          </w:p>
        </w:tc>
      </w:tr>
      <w:tr w:rsidR="005071D2" w:rsidRPr="00743530" w14:paraId="506560F9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A688C27" w14:textId="77777777" w:rsidR="005071D2" w:rsidRPr="00743530" w:rsidRDefault="005071D2" w:rsidP="005071D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reálného HDP v eurozóně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7D57C06" w14:textId="0AA0F60A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0.5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403D371" w14:textId="410A4505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0.7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1D340AF" w14:textId="13581185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1.4</w:t>
            </w:r>
          </w:p>
        </w:tc>
      </w:tr>
      <w:tr w:rsidR="005071D2" w:rsidRPr="00743530" w14:paraId="00C55435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5C4623C5" w14:textId="77777777" w:rsidR="005071D2" w:rsidRPr="00743530" w:rsidRDefault="005071D2" w:rsidP="005071D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Ceny ropy (USD za barel): brent průměr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9D72B50" w14:textId="31591686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EA56160" w14:textId="451D58B3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9955406" w14:textId="7130352E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80</w:t>
            </w:r>
          </w:p>
        </w:tc>
      </w:tr>
      <w:tr w:rsidR="005071D2" w:rsidRPr="00743530" w14:paraId="27D7FB94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2D3C298E" w14:textId="77777777" w:rsidR="005071D2" w:rsidRPr="00743530" w:rsidRDefault="005071D2" w:rsidP="005071D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bankovních úvěrů klientských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812FE2E" w14:textId="664D92FA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5.9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BAE2F00" w14:textId="7D041446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6.2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44DCDAB" w14:textId="06BA4F99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5.8</w:t>
            </w:r>
          </w:p>
        </w:tc>
      </w:tr>
      <w:tr w:rsidR="005071D2" w:rsidRPr="00743530" w14:paraId="75D898FC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23DB2A2B" w14:textId="77777777" w:rsidR="005071D2" w:rsidRPr="00743530" w:rsidRDefault="005071D2" w:rsidP="005071D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bankovních úvěrů domácnostem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9ED7F73" w14:textId="083F2114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4.8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73F31BA" w14:textId="7A282752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E6362F7" w14:textId="58202D56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5.8</w:t>
            </w:r>
          </w:p>
        </w:tc>
      </w:tr>
      <w:tr w:rsidR="005071D2" w:rsidRPr="00743530" w14:paraId="71E39703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171F41C" w14:textId="77777777" w:rsidR="005071D2" w:rsidRPr="00743530" w:rsidRDefault="005071D2" w:rsidP="005071D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bankovních úvěrů (nefinančním) podnikům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BAE93B0" w14:textId="49F700AE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4.7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364A5A5" w14:textId="2FD9802B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7.4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7339B8F" w14:textId="71DED2AD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6.2</w:t>
            </w:r>
          </w:p>
        </w:tc>
      </w:tr>
      <w:tr w:rsidR="005071D2" w:rsidRPr="00743530" w14:paraId="1395FEF0" w14:textId="77777777" w:rsidTr="0073410F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432534AB" w14:textId="77777777" w:rsidR="005071D2" w:rsidRPr="00743530" w:rsidRDefault="005071D2" w:rsidP="005071D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bankovních vkladů klientských celkem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562513A" w14:textId="55B706F8" w:rsidR="005071D2" w:rsidRPr="005071D2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44546A" w:themeColor="text2"/>
                <w:sz w:val="20"/>
              </w:rPr>
            </w:pPr>
            <w:r w:rsidRPr="005071D2">
              <w:rPr>
                <w:rFonts w:ascii="Calibri Light" w:hAnsi="Calibri Light" w:cs="Calibri Light"/>
                <w:color w:val="44546A" w:themeColor="text2"/>
                <w:sz w:val="20"/>
              </w:rPr>
              <w:t>7.9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7D2CE07" w14:textId="513CB4FC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6.8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D369F9C" w14:textId="652926D5" w:rsidR="005071D2" w:rsidRPr="00743530" w:rsidRDefault="005071D2" w:rsidP="005071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5.6</w:t>
            </w:r>
          </w:p>
        </w:tc>
      </w:tr>
      <w:tr w:rsidR="0073410F" w:rsidRPr="00743530" w14:paraId="40B3B8B7" w14:textId="77777777" w:rsidTr="0073410F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13576B"/>
            <w:vAlign w:val="center"/>
          </w:tcPr>
          <w:p w14:paraId="784A2D1B" w14:textId="77777777" w:rsidR="0073410F" w:rsidRPr="00743530" w:rsidRDefault="0073410F" w:rsidP="00727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50B15C3E" w14:textId="77777777" w:rsidR="0073410F" w:rsidRDefault="0073410F" w:rsidP="007270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3F2CA50B" w14:textId="77777777" w:rsidR="0073410F" w:rsidRDefault="0073410F" w:rsidP="007270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2EC46DC4" w14:textId="77777777" w:rsidR="0073410F" w:rsidRDefault="0073410F" w:rsidP="007270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</w:p>
        </w:tc>
      </w:tr>
    </w:tbl>
    <w:p w14:paraId="4D1810CE" w14:textId="77777777" w:rsidR="00FC11E3" w:rsidRDefault="00FC11E3" w:rsidP="00B4285D">
      <w:pPr>
        <w:rPr>
          <w:rFonts w:ascii="Calibri" w:eastAsiaTheme="minorEastAsia" w:hAnsi="Calibri" w:cs="Calibri"/>
        </w:rPr>
      </w:pPr>
    </w:p>
    <w:p w14:paraId="7561C03E" w14:textId="48A06A3A" w:rsidR="00F37DC9" w:rsidRDefault="003161ED" w:rsidP="00B4285D">
      <w:pPr>
        <w:rPr>
          <w:rFonts w:ascii="Calibri" w:eastAsiaTheme="minorEastAsia" w:hAnsi="Calibri" w:cs="Calibri"/>
        </w:rPr>
      </w:pPr>
      <w:r w:rsidRPr="00C9674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 wp14:anchorId="3801A402" wp14:editId="55458A3A">
                <wp:simplePos x="0" y="0"/>
                <wp:positionH relativeFrom="margin">
                  <wp:align>right</wp:align>
                </wp:positionH>
                <wp:positionV relativeFrom="paragraph">
                  <wp:posOffset>13005</wp:posOffset>
                </wp:positionV>
                <wp:extent cx="6476365" cy="1168842"/>
                <wp:effectExtent l="0" t="0" r="635" b="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365" cy="11688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13D1E" w14:textId="77777777" w:rsidR="00F37DC9" w:rsidRPr="0073410F" w:rsidRDefault="00F37DC9" w:rsidP="00F37DC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  <w:r w:rsidRPr="0073410F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Cs w:val="18"/>
                              </w:rPr>
                              <w:t xml:space="preserve">O prognóze ČBA </w:t>
                            </w:r>
                          </w:p>
                          <w:p w14:paraId="04BF716D" w14:textId="668E47C3" w:rsidR="00EE7B05" w:rsidRPr="0073410F" w:rsidRDefault="00EE7B05" w:rsidP="00EE7B05">
                            <w:pPr>
                              <w:spacing w:line="276" w:lineRule="auto"/>
                              <w:ind w:left="28" w:hanging="28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Tato prognóza vznikla na základě příspěvků analytiků 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9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členských bank ČBA: Petr Dufek (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hlavní ekonom</w:t>
                            </w:r>
                            <w:r w:rsidR="0067582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,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Banka CREDITAS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), 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Jan Bureš (ekonomický analytik ČSOB), 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Petr </w:t>
                            </w:r>
                            <w:proofErr w:type="spellStart"/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Gapko</w:t>
                            </w:r>
                            <w:proofErr w:type="spellEnd"/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(hlavní ekonom</w:t>
                            </w:r>
                            <w:r w:rsidR="0067582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,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MONETA Money Bank), </w:t>
                            </w:r>
                            <w:r w:rsidR="008659F5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Helena Horská a </w:t>
                            </w:r>
                            <w:r w:rsidR="00F57DE2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Martin Kron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(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ekonomický </w:t>
                            </w:r>
                            <w:r w:rsidR="008659F5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výzkum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Raiffeisenbank), Michal Skořepa (makroekonomický analytik České spořitelny), Petr Sklenář (hlavní ekonom</w:t>
                            </w:r>
                            <w:r w:rsidR="0067582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,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J&amp;T Bank), Pavel Sobíšek (hlavní ekonom, </w:t>
                            </w:r>
                            <w:proofErr w:type="spellStart"/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UniCredit</w:t>
                            </w:r>
                            <w:proofErr w:type="spellEnd"/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Bank), Jaromír Šindel (hlavní ekonom Citibank), Jan </w:t>
                            </w:r>
                            <w:proofErr w:type="spellStart"/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Vejmělek</w:t>
                            </w:r>
                            <w:proofErr w:type="spellEnd"/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(hlavní ekonom Komerční banky). Za ČBA se na tvorbě prognózy podílel Jakub Seidler</w:t>
                            </w:r>
                            <w:r w:rsidR="00361DD8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</w:t>
                            </w:r>
                          </w:p>
                          <w:p w14:paraId="77C1A42D" w14:textId="77777777" w:rsidR="00F37DC9" w:rsidRPr="00A55BDD" w:rsidRDefault="00F37DC9" w:rsidP="00F37DC9">
                            <w:pPr>
                              <w:spacing w:line="276" w:lineRule="auto"/>
                              <w:ind w:left="28" w:hanging="28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1A402" id="Obdélník 4" o:spid="_x0000_s1029" style="position:absolute;left:0;text-align:left;margin-left:458.75pt;margin-top:1pt;width:509.95pt;height:92.0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" fillcolor="#bfbfbf [2412]" stroked="f" strokeweight="1pt">
                <v:textbox inset="3mm,3mm,3mm,3mm">
                  <w:txbxContent>
                    <w:p w14:paraId="7E313D1E" w14:textId="77777777" w:rsidR="00F37DC9" w:rsidRPr="0073410F" w:rsidRDefault="00F37DC9" w:rsidP="00F37DC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  <w:szCs w:val="18"/>
                        </w:rPr>
                      </w:pPr>
                      <w:r w:rsidRPr="0073410F">
                        <w:rPr>
                          <w:rFonts w:ascii="Calibri" w:hAnsi="Calibri" w:cs="Calibri"/>
                          <w:b/>
                          <w:color w:val="FFFFFF" w:themeColor="background1"/>
                          <w:szCs w:val="18"/>
                        </w:rPr>
                        <w:t xml:space="preserve">O prognóze ČBA </w:t>
                      </w:r>
                    </w:p>
                    <w:p w14:paraId="04BF716D" w14:textId="668E47C3" w:rsidR="00EE7B05" w:rsidRPr="0073410F" w:rsidRDefault="00EE7B05" w:rsidP="00EE7B05">
                      <w:pPr>
                        <w:spacing w:line="276" w:lineRule="auto"/>
                        <w:ind w:left="28" w:hanging="28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Tato prognóza vznikla na základě příspěvků analytiků 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9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členských bank ČBA: Petr Dufek (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hlavní ekonom</w:t>
                      </w:r>
                      <w:r w:rsidR="0067582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,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Banka CREDITAS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), 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Jan Bureš (ekonomický analytik ČSOB), 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Petr </w:t>
                      </w:r>
                      <w:proofErr w:type="spellStart"/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Gapko</w:t>
                      </w:r>
                      <w:proofErr w:type="spellEnd"/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(hlavní ekonom</w:t>
                      </w:r>
                      <w:r w:rsidR="0067582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,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MONETA Money Bank), </w:t>
                      </w:r>
                      <w:r w:rsidR="008659F5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Helena Horská a </w:t>
                      </w:r>
                      <w:r w:rsidR="00F57DE2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Martin Kron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(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ekonomický </w:t>
                      </w:r>
                      <w:r w:rsidR="008659F5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výzkum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Raiffeisenbank), Michal Skořepa (makroekonomický analytik České spořitelny), Petr Sklenář (hlavní ekonom</w:t>
                      </w:r>
                      <w:r w:rsidR="0067582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,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J&amp;T Bank), Pavel Sobíšek (hlavní ekonom, </w:t>
                      </w:r>
                      <w:proofErr w:type="spellStart"/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UniCredit</w:t>
                      </w:r>
                      <w:proofErr w:type="spellEnd"/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Bank), Jaromír Šindel (hlavní ekonom Citibank), Jan </w:t>
                      </w:r>
                      <w:proofErr w:type="spellStart"/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Vejmělek</w:t>
                      </w:r>
                      <w:proofErr w:type="spellEnd"/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(hlavní ekonom Komerční banky). Za ČBA se na tvorbě prognózy podílel Jakub Seidler</w:t>
                      </w:r>
                      <w:r w:rsidR="00361DD8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</w:t>
                      </w:r>
                    </w:p>
                    <w:p w14:paraId="77C1A42D" w14:textId="77777777" w:rsidR="00F37DC9" w:rsidRPr="00A55BDD" w:rsidRDefault="00F37DC9" w:rsidP="00F37DC9">
                      <w:pPr>
                        <w:spacing w:line="276" w:lineRule="auto"/>
                        <w:ind w:left="28" w:hanging="28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5D62" w:rsidRPr="00F37DC9">
        <w:rPr>
          <w:rFonts w:ascii="Calibri" w:eastAsiaTheme="minorEastAsia" w:hAnsi="Calibri" w:cs="Calibri"/>
        </w:rPr>
        <w:tab/>
      </w:r>
    </w:p>
    <w:p w14:paraId="17CF7A7C" w14:textId="77777777" w:rsidR="005547BF" w:rsidRDefault="005547BF" w:rsidP="00B4285D">
      <w:pPr>
        <w:rPr>
          <w:rFonts w:ascii="Calibri" w:eastAsiaTheme="minorEastAsia" w:hAnsi="Calibri" w:cs="Calibri"/>
        </w:rPr>
      </w:pPr>
    </w:p>
    <w:p w14:paraId="3B70CAB7" w14:textId="77777777" w:rsidR="005547BF" w:rsidRDefault="005547BF" w:rsidP="00B4285D">
      <w:pPr>
        <w:rPr>
          <w:rFonts w:ascii="Calibri" w:eastAsiaTheme="minorEastAsia" w:hAnsi="Calibri" w:cs="Calibri"/>
        </w:rPr>
      </w:pPr>
    </w:p>
    <w:p w14:paraId="6DB62AD1" w14:textId="5086AED3" w:rsidR="001642C0" w:rsidRDefault="001642C0" w:rsidP="00B4285D">
      <w:pPr>
        <w:rPr>
          <w:rFonts w:ascii="Calibri" w:eastAsiaTheme="minorEastAsia" w:hAnsi="Calibri" w:cs="Calibri"/>
        </w:rPr>
      </w:pPr>
    </w:p>
    <w:p w14:paraId="52E6141C" w14:textId="16E75886" w:rsidR="00F37DC9" w:rsidRDefault="00F37DC9" w:rsidP="00B4285D">
      <w:pPr>
        <w:rPr>
          <w:rFonts w:ascii="Calibri" w:eastAsiaTheme="minorEastAsia" w:hAnsi="Calibri" w:cs="Calibri"/>
        </w:rPr>
      </w:pPr>
    </w:p>
    <w:p w14:paraId="59DD5F85" w14:textId="14AD5D2F" w:rsidR="00F37DC9" w:rsidRDefault="00F37DC9" w:rsidP="00B4285D">
      <w:pPr>
        <w:rPr>
          <w:rFonts w:ascii="Calibri" w:eastAsiaTheme="minorEastAsia" w:hAnsi="Calibri" w:cs="Calibri"/>
        </w:rPr>
      </w:pPr>
    </w:p>
    <w:p w14:paraId="333F07F6" w14:textId="217C26C9" w:rsidR="00F37DC9" w:rsidRDefault="00F37DC9" w:rsidP="00B4285D">
      <w:pPr>
        <w:rPr>
          <w:rFonts w:ascii="Calibri" w:eastAsiaTheme="minorEastAsia" w:hAnsi="Calibri" w:cs="Calibri"/>
        </w:rPr>
      </w:pPr>
    </w:p>
    <w:p w14:paraId="5ACD7EBC" w14:textId="267566DC" w:rsidR="00F37DC9" w:rsidRDefault="00F37DC9" w:rsidP="00272A8E">
      <w:pPr>
        <w:tabs>
          <w:tab w:val="left" w:pos="2532"/>
        </w:tabs>
        <w:rPr>
          <w:rFonts w:ascii="Calibri" w:eastAsiaTheme="minorEastAsia" w:hAnsi="Calibri" w:cs="Calibri"/>
        </w:rPr>
      </w:pPr>
    </w:p>
    <w:p w14:paraId="77090A9B" w14:textId="5B92B9DD" w:rsidR="00F37DC9" w:rsidRDefault="00F37DC9" w:rsidP="00B4285D">
      <w:pPr>
        <w:rPr>
          <w:rFonts w:ascii="Calibri" w:eastAsiaTheme="minorEastAsia" w:hAnsi="Calibri" w:cs="Calibri"/>
        </w:rPr>
      </w:pPr>
    </w:p>
    <w:p w14:paraId="5D41C5D7" w14:textId="77777777" w:rsidR="0073410F" w:rsidRDefault="0073410F" w:rsidP="00B4285D">
      <w:pPr>
        <w:rPr>
          <w:rFonts w:ascii="Calibri" w:eastAsiaTheme="minorEastAsia" w:hAnsi="Calibri" w:cs="Calibri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6817"/>
        <w:gridCol w:w="3384"/>
      </w:tblGrid>
      <w:tr w:rsidR="0073410F" w:rsidRPr="00635D8B" w14:paraId="2BB4B9D8" w14:textId="77777777" w:rsidTr="001726CC">
        <w:trPr>
          <w:trHeight w:val="1364"/>
        </w:trPr>
        <w:tc>
          <w:tcPr>
            <w:tcW w:w="6817" w:type="dxa"/>
            <w:shd w:val="clear" w:color="auto" w:fill="13576B"/>
          </w:tcPr>
          <w:p w14:paraId="32CA9EB7" w14:textId="77777777" w:rsidR="0073410F" w:rsidRDefault="0073410F" w:rsidP="001726CC">
            <w:pPr>
              <w:pStyle w:val="CBANadpisvTABULCE"/>
              <w:jc w:val="both"/>
              <w:rPr>
                <w:rFonts w:ascii="IBM Plex Sans" w:hAnsi="IBM Plex Sans" w:cs="Poppins"/>
                <w:color w:val="FFFFFF"/>
                <w:szCs w:val="18"/>
              </w:rPr>
            </w:pPr>
            <w:r>
              <w:rPr>
                <w:rFonts w:ascii="IBM Plex Sans" w:hAnsi="IBM Plex Sans" w:cs="Poppins"/>
                <w:color w:val="FFFFFF"/>
                <w:szCs w:val="18"/>
              </w:rPr>
              <w:t>O České bankovní asociaci</w:t>
            </w:r>
          </w:p>
          <w:p w14:paraId="22379D56" w14:textId="057F3E4D" w:rsidR="0073410F" w:rsidRDefault="0073410F" w:rsidP="001726CC">
            <w:pPr>
              <w:rPr>
                <w:rFonts w:ascii="Calibri" w:hAnsi="Calibri"/>
                <w:color w:val="FFFFFF"/>
                <w:sz w:val="22"/>
              </w:rPr>
            </w:pPr>
            <w:bookmarkStart w:id="14" w:name="_Hlk128734138"/>
            <w:r>
              <w:rPr>
                <w:color w:val="FFFFFF"/>
              </w:rPr>
              <w:t>Česká bankovní asociace (ČBA) je dobrovolné sdružení 3</w:t>
            </w:r>
            <w:r w:rsidR="004E3E95">
              <w:rPr>
                <w:color w:val="FFFFFF"/>
              </w:rPr>
              <w:t>3</w:t>
            </w:r>
            <w:r>
              <w:rPr>
                <w:color w:val="FFFFFF"/>
              </w:rPr>
              <w:t xml:space="preserve"> bank působících v České republice a reprezentuje tak 99 % trhu. Již 30 let podporuje nejen rozvoj bankovního sektoru, ale i celé ekonomiky a všeobecné finanční gramotnosti. ČBA je členem Evropské bankovní federace (EBF).</w:t>
            </w:r>
          </w:p>
          <w:bookmarkEnd w:id="14"/>
          <w:p w14:paraId="4A9BB153" w14:textId="77777777" w:rsidR="0073410F" w:rsidRDefault="0073410F" w:rsidP="001726CC">
            <w:pPr>
              <w:pStyle w:val="CBAodstavecvTABULCE"/>
              <w:jc w:val="both"/>
              <w:rPr>
                <w:rFonts w:ascii="IBM Plex Sans" w:hAnsi="IBM Plex Sans" w:cs="Poppins"/>
                <w:color w:val="FFFFFF"/>
                <w:szCs w:val="18"/>
              </w:rPr>
            </w:pPr>
            <w:r>
              <w:rPr>
                <w:rFonts w:ascii="IBM Plex Sans" w:hAnsi="IBM Plex Sans" w:cs="Poppins"/>
                <w:color w:val="FFFFFF"/>
                <w:szCs w:val="18"/>
              </w:rPr>
              <w:t xml:space="preserve">Více informací na </w:t>
            </w:r>
            <w:r>
              <w:rPr>
                <w:rFonts w:ascii="IBM Plex Sans" w:hAnsi="IBM Plex Sans" w:cs="Poppins"/>
                <w:color w:val="FFFFFF"/>
                <w:szCs w:val="18"/>
                <w:u w:val="single"/>
              </w:rPr>
              <w:t>www.cbaonline.cz.</w:t>
            </w:r>
            <w:r>
              <w:rPr>
                <w:rFonts w:ascii="IBM Plex Sans" w:hAnsi="IBM Plex Sans" w:cs="Poppins"/>
                <w:color w:val="A9936D"/>
                <w:szCs w:val="18"/>
              </w:rPr>
              <w:t xml:space="preserve"> </w:t>
            </w:r>
          </w:p>
        </w:tc>
        <w:tc>
          <w:tcPr>
            <w:tcW w:w="3384" w:type="dxa"/>
            <w:shd w:val="clear" w:color="auto" w:fill="A9936D"/>
            <w:vAlign w:val="center"/>
          </w:tcPr>
          <w:p w14:paraId="51EEA920" w14:textId="4CA6AF39" w:rsidR="0073410F" w:rsidRDefault="00D260F0" w:rsidP="001726CC">
            <w:pPr>
              <w:pStyle w:val="CBAodstavecvTABULCE"/>
              <w:rPr>
                <w:rFonts w:ascii="IBM Plex Sans" w:hAnsi="IBM Plex Sans" w:cs="Poppins"/>
                <w:b/>
                <w:bCs/>
                <w:color w:val="FFFFFF"/>
                <w:szCs w:val="18"/>
              </w:rPr>
            </w:pPr>
            <w:r>
              <w:rPr>
                <w:rFonts w:ascii="IBM Plex Sans" w:hAnsi="IBM Plex Sans" w:cs="Poppins"/>
                <w:b/>
                <w:bCs/>
                <w:color w:val="FFFFFF"/>
                <w:szCs w:val="18"/>
              </w:rPr>
              <w:t xml:space="preserve"> </w:t>
            </w:r>
            <w:r w:rsidR="0073410F">
              <w:rPr>
                <w:rFonts w:ascii="IBM Plex Sans" w:hAnsi="IBM Plex Sans" w:cs="Poppins"/>
                <w:b/>
                <w:bCs/>
                <w:color w:val="FFFFFF"/>
                <w:szCs w:val="18"/>
              </w:rPr>
              <w:t>Dotazy posílejte na</w:t>
            </w:r>
          </w:p>
          <w:p w14:paraId="4BDB00A6" w14:textId="77777777" w:rsidR="0073410F" w:rsidRDefault="0073410F" w:rsidP="001726CC">
            <w:pPr>
              <w:pStyle w:val="CBAodstavecvTABULCE"/>
              <w:jc w:val="center"/>
              <w:rPr>
                <w:rFonts w:ascii="IBM Plex Sans" w:hAnsi="IBM Plex Sans" w:cs="Poppins"/>
                <w:color w:val="FFFFFF"/>
                <w:szCs w:val="18"/>
              </w:rPr>
            </w:pPr>
            <w:r>
              <w:rPr>
                <w:rFonts w:ascii="IBM Plex Sans" w:hAnsi="IBM Plex Sans" w:cs="Poppins"/>
                <w:b/>
                <w:bCs/>
                <w:color w:val="FFFFFF"/>
                <w:szCs w:val="18"/>
              </w:rPr>
              <w:t>radek.salsa@cbaonline.cz</w:t>
            </w:r>
          </w:p>
        </w:tc>
      </w:tr>
    </w:tbl>
    <w:p w14:paraId="1AE6FC8E" w14:textId="01CA802E" w:rsidR="005C1943" w:rsidRPr="00F37DC9" w:rsidRDefault="005C1943" w:rsidP="00060800">
      <w:pPr>
        <w:rPr>
          <w:rFonts w:ascii="Calibri" w:eastAsiaTheme="minorEastAsia" w:hAnsi="Calibri" w:cs="Calibri"/>
        </w:rPr>
      </w:pPr>
    </w:p>
    <w:sectPr w:rsidR="005C1943" w:rsidRPr="00F37DC9" w:rsidSect="00524989">
      <w:headerReference w:type="default" r:id="rId8"/>
      <w:footerReference w:type="default" r:id="rId9"/>
      <w:pgSz w:w="11906" w:h="16838"/>
      <w:pgMar w:top="2552" w:right="851" w:bottom="1418" w:left="85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2E2EC" w14:textId="77777777" w:rsidR="001A78C1" w:rsidRDefault="001A78C1" w:rsidP="00F573F1">
      <w:r>
        <w:separator/>
      </w:r>
    </w:p>
  </w:endnote>
  <w:endnote w:type="continuationSeparator" w:id="0">
    <w:p w14:paraId="16FFD62C" w14:textId="77777777" w:rsidR="001A78C1" w:rsidRDefault="001A78C1" w:rsidP="00F573F1">
      <w:r>
        <w:continuationSeparator/>
      </w:r>
    </w:p>
  </w:endnote>
  <w:endnote w:type="continuationNotice" w:id="1">
    <w:p w14:paraId="66D53469" w14:textId="77777777" w:rsidR="001A78C1" w:rsidRDefault="001A7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Cs w:val="18"/>
      </w:rPr>
      <w:id w:val="114994418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54F1F5" w14:textId="19327CD8" w:rsidR="00F37DC9" w:rsidRPr="00F37DC9" w:rsidRDefault="00F37DC9">
            <w:pPr>
              <w:pStyle w:val="Zpat"/>
              <w:jc w:val="right"/>
              <w:rPr>
                <w:rFonts w:ascii="Calibri" w:hAnsi="Calibri" w:cs="Calibri"/>
                <w:szCs w:val="18"/>
              </w:rPr>
            </w:pPr>
            <w:r w:rsidRPr="001E31AB">
              <w:rPr>
                <w:rFonts w:ascii="Calibri" w:hAnsi="Calibri"/>
                <w:noProof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40EC3339" wp14:editId="625B1AC4">
                  <wp:simplePos x="0" y="0"/>
                  <wp:positionH relativeFrom="column">
                    <wp:posOffset>-541020</wp:posOffset>
                  </wp:positionH>
                  <wp:positionV relativeFrom="paragraph">
                    <wp:posOffset>-137160</wp:posOffset>
                  </wp:positionV>
                  <wp:extent cx="3042285" cy="701040"/>
                  <wp:effectExtent l="0" t="0" r="5715" b="0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09" t="94992" r="61095" b="-1544"/>
                          <a:stretch/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DC9">
              <w:rPr>
                <w:rFonts w:ascii="Calibri" w:hAnsi="Calibri" w:cs="Calibri"/>
                <w:szCs w:val="18"/>
              </w:rPr>
              <w:t xml:space="preserve">Stránka </w: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begin"/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instrText>PAGE</w:instrTex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separate"/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t>2</w: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end"/>
            </w:r>
            <w:r w:rsidRPr="00F37DC9">
              <w:rPr>
                <w:rFonts w:ascii="Calibri" w:hAnsi="Calibri" w:cs="Calibri"/>
                <w:szCs w:val="18"/>
              </w:rPr>
              <w:t xml:space="preserve"> z </w: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begin"/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instrText>NUMPAGES</w:instrTex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separate"/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t>2</w: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6B2FBE8E" w14:textId="77777777" w:rsidR="00536B9B" w:rsidRPr="00FB4A1C" w:rsidRDefault="00536B9B" w:rsidP="00FB4A1C">
    <w:pPr>
      <w:pStyle w:val="Zpat"/>
      <w:tabs>
        <w:tab w:val="clear" w:pos="4536"/>
        <w:tab w:val="clear" w:pos="9072"/>
        <w:tab w:val="left" w:pos="6080"/>
      </w:tabs>
      <w:rPr>
        <w:color w:val="A6A6A6" w:themeColor="background1" w:themeShade="A6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B99ED" w14:textId="77777777" w:rsidR="001A78C1" w:rsidRDefault="001A78C1" w:rsidP="00F573F1">
      <w:r>
        <w:separator/>
      </w:r>
    </w:p>
  </w:footnote>
  <w:footnote w:type="continuationSeparator" w:id="0">
    <w:p w14:paraId="769D75D1" w14:textId="77777777" w:rsidR="001A78C1" w:rsidRDefault="001A78C1" w:rsidP="00F573F1">
      <w:r>
        <w:continuationSeparator/>
      </w:r>
    </w:p>
  </w:footnote>
  <w:footnote w:type="continuationNotice" w:id="1">
    <w:p w14:paraId="363D5A12" w14:textId="77777777" w:rsidR="001A78C1" w:rsidRDefault="001A78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D6A72" w14:textId="2B5E0211" w:rsidR="00F37DC9" w:rsidRDefault="00F37DC9" w:rsidP="00F37DC9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F98975" wp14:editId="270559D0">
          <wp:simplePos x="0" y="0"/>
          <wp:positionH relativeFrom="column">
            <wp:posOffset>-52705</wp:posOffset>
          </wp:positionH>
          <wp:positionV relativeFrom="paragraph">
            <wp:posOffset>29845</wp:posOffset>
          </wp:positionV>
          <wp:extent cx="2209800" cy="778510"/>
          <wp:effectExtent l="0" t="0" r="0" b="254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BA7D056" wp14:editId="7FF03F24">
          <wp:simplePos x="0" y="0"/>
          <wp:positionH relativeFrom="column">
            <wp:posOffset>3985895</wp:posOffset>
          </wp:positionH>
          <wp:positionV relativeFrom="paragraph">
            <wp:posOffset>-8255</wp:posOffset>
          </wp:positionV>
          <wp:extent cx="2943225" cy="243840"/>
          <wp:effectExtent l="0" t="0" r="9525" b="381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992" r="61096" b="2729"/>
                  <a:stretch/>
                </pic:blipFill>
                <pic:spPr bwMode="auto">
                  <a:xfrm>
                    <a:off x="0" y="0"/>
                    <a:ext cx="2943225" cy="24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7EE12" w14:textId="508204F7" w:rsidR="00F37DC9" w:rsidRDefault="002B1A4A">
    <w:pPr>
      <w:pStyle w:val="Zhlav"/>
    </w:pPr>
    <w:r w:rsidRPr="00F615BD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5203F4D" wp14:editId="7D6E81C2">
              <wp:simplePos x="0" y="0"/>
              <wp:positionH relativeFrom="margin">
                <wp:posOffset>2425453</wp:posOffset>
              </wp:positionH>
              <wp:positionV relativeFrom="paragraph">
                <wp:posOffset>72859</wp:posOffset>
              </wp:positionV>
              <wp:extent cx="1709530" cy="1404620"/>
              <wp:effectExtent l="0" t="0" r="0" b="254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5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A903D" w14:textId="08C8920E" w:rsidR="002B1A4A" w:rsidRPr="002B1A4A" w:rsidRDefault="002B1A4A" w:rsidP="002B1A4A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203F4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91pt;margin-top:5.75pt;width:134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" filled="f" stroked="f">
              <v:textbox style="mso-fit-shape-to-text:t">
                <w:txbxContent>
                  <w:p w14:paraId="1F1A903D" w14:textId="08C8920E" w:rsidR="002B1A4A" w:rsidRPr="002B1A4A" w:rsidRDefault="002B1A4A" w:rsidP="002B1A4A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37DC9" w:rsidRPr="00F615BD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CB3763" wp14:editId="0D54C2D8">
              <wp:simplePos x="0" y="0"/>
              <wp:positionH relativeFrom="margin">
                <wp:posOffset>5289974</wp:posOffset>
              </wp:positionH>
              <wp:positionV relativeFrom="paragraph">
                <wp:posOffset>6985</wp:posOffset>
              </wp:positionV>
              <wp:extent cx="1239520" cy="1404620"/>
              <wp:effectExtent l="0" t="0" r="0" b="0"/>
              <wp:wrapNone/>
              <wp:docPr id="20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CD1CFE" w14:textId="77777777" w:rsidR="00F37DC9" w:rsidRPr="00F37DC9" w:rsidRDefault="00F37DC9" w:rsidP="00F37DC9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2"/>
                              <w:szCs w:val="24"/>
                            </w:rPr>
                          </w:pPr>
                          <w:r w:rsidRPr="00F37DC9">
                            <w:rPr>
                              <w:rFonts w:ascii="Calibri" w:hAnsi="Calibri" w:cs="Calibri"/>
                              <w:b/>
                              <w:color w:val="13576B"/>
                              <w:sz w:val="22"/>
                              <w:szCs w:val="24"/>
                            </w:rPr>
                            <w:t xml:space="preserve">TISKOVÁ ZPRÁVA </w:t>
                          </w:r>
                        </w:p>
                        <w:p w14:paraId="5CDE064D" w14:textId="06642BC2" w:rsidR="00F37DC9" w:rsidRPr="00F37DC9" w:rsidRDefault="00201AC5" w:rsidP="00F37DC9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>8</w:t>
                          </w:r>
                          <w:r w:rsidR="00F37DC9" w:rsidRPr="00F37DC9"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>8</w:t>
                          </w:r>
                          <w:r w:rsidR="00F37DC9" w:rsidRPr="00F37DC9"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>. 202</w:t>
                          </w:r>
                          <w:r w:rsidR="00FF1673"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5CB3763" id="_x0000_s1031" type="#_x0000_t202" style="position:absolute;left:0;text-align:left;margin-left:416.55pt;margin-top:.55pt;width:9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" filled="f" stroked="f">
              <v:textbox style="mso-fit-shape-to-text:t">
                <w:txbxContent>
                  <w:p w14:paraId="49CD1CFE" w14:textId="77777777" w:rsidR="00F37DC9" w:rsidRPr="00F37DC9" w:rsidRDefault="00F37DC9" w:rsidP="00F37DC9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2"/>
                        <w:szCs w:val="24"/>
                      </w:rPr>
                    </w:pPr>
                    <w:r w:rsidRPr="00F37DC9">
                      <w:rPr>
                        <w:rFonts w:ascii="Calibri" w:hAnsi="Calibri" w:cs="Calibri"/>
                        <w:b/>
                        <w:color w:val="13576B"/>
                        <w:sz w:val="22"/>
                        <w:szCs w:val="24"/>
                      </w:rPr>
                      <w:t xml:space="preserve">TISKOVÁ ZPRÁVA </w:t>
                    </w:r>
                  </w:p>
                  <w:p w14:paraId="5CDE064D" w14:textId="06642BC2" w:rsidR="00F37DC9" w:rsidRPr="00F37DC9" w:rsidRDefault="00201AC5" w:rsidP="00F37DC9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2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>8</w:t>
                    </w:r>
                    <w:r w:rsidR="00F37DC9" w:rsidRPr="00F37DC9"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 xml:space="preserve">. </w:t>
                    </w:r>
                    <w:r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>8</w:t>
                    </w:r>
                    <w:r w:rsidR="00F37DC9" w:rsidRPr="00F37DC9"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>. 202</w:t>
                    </w:r>
                    <w:r w:rsidR="00FF1673"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8A7"/>
    <w:multiLevelType w:val="hybridMultilevel"/>
    <w:tmpl w:val="ADD42E08"/>
    <w:lvl w:ilvl="0" w:tplc="9B0CB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15A72"/>
    <w:multiLevelType w:val="hybridMultilevel"/>
    <w:tmpl w:val="4222A8D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E42FC1"/>
    <w:multiLevelType w:val="hybridMultilevel"/>
    <w:tmpl w:val="C296AEE6"/>
    <w:lvl w:ilvl="0" w:tplc="B2560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C4DCE"/>
    <w:multiLevelType w:val="hybridMultilevel"/>
    <w:tmpl w:val="D4D47A08"/>
    <w:lvl w:ilvl="0" w:tplc="F062A1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86F60"/>
    <w:multiLevelType w:val="hybridMultilevel"/>
    <w:tmpl w:val="3232EEBE"/>
    <w:lvl w:ilvl="0" w:tplc="491E84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B2CEC"/>
    <w:multiLevelType w:val="hybridMultilevel"/>
    <w:tmpl w:val="FDB00238"/>
    <w:lvl w:ilvl="0" w:tplc="BD9EF86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BCF"/>
    <w:multiLevelType w:val="hybridMultilevel"/>
    <w:tmpl w:val="3554269C"/>
    <w:lvl w:ilvl="0" w:tplc="F52C1D16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F41FF"/>
    <w:multiLevelType w:val="hybridMultilevel"/>
    <w:tmpl w:val="06ECF1A8"/>
    <w:lvl w:ilvl="0" w:tplc="72161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69B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4DA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E1B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445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EB5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2F4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686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A89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F3628E"/>
    <w:multiLevelType w:val="hybridMultilevel"/>
    <w:tmpl w:val="771602E6"/>
    <w:lvl w:ilvl="0" w:tplc="30548F9A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763A7"/>
    <w:multiLevelType w:val="hybridMultilevel"/>
    <w:tmpl w:val="F904BEEC"/>
    <w:lvl w:ilvl="0" w:tplc="E0A2536E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37D7D"/>
    <w:multiLevelType w:val="hybridMultilevel"/>
    <w:tmpl w:val="F856C146"/>
    <w:lvl w:ilvl="0" w:tplc="F37A31C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A73130"/>
    <w:multiLevelType w:val="hybridMultilevel"/>
    <w:tmpl w:val="65281904"/>
    <w:lvl w:ilvl="0" w:tplc="DF56ABD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6451B"/>
    <w:multiLevelType w:val="hybridMultilevel"/>
    <w:tmpl w:val="C1DEF65C"/>
    <w:lvl w:ilvl="0" w:tplc="0E7285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76527">
    <w:abstractNumId w:val="1"/>
  </w:num>
  <w:num w:numId="2" w16cid:durableId="433785663">
    <w:abstractNumId w:val="2"/>
  </w:num>
  <w:num w:numId="3" w16cid:durableId="1729918350">
    <w:abstractNumId w:val="10"/>
  </w:num>
  <w:num w:numId="4" w16cid:durableId="253903565">
    <w:abstractNumId w:val="7"/>
  </w:num>
  <w:num w:numId="5" w16cid:durableId="802504195">
    <w:abstractNumId w:val="3"/>
  </w:num>
  <w:num w:numId="6" w16cid:durableId="197862842">
    <w:abstractNumId w:val="4"/>
  </w:num>
  <w:num w:numId="7" w16cid:durableId="1431047350">
    <w:abstractNumId w:val="6"/>
  </w:num>
  <w:num w:numId="8" w16cid:durableId="1469476053">
    <w:abstractNumId w:val="12"/>
  </w:num>
  <w:num w:numId="9" w16cid:durableId="1848516986">
    <w:abstractNumId w:val="0"/>
  </w:num>
  <w:num w:numId="10" w16cid:durableId="2118717874">
    <w:abstractNumId w:val="9"/>
  </w:num>
  <w:num w:numId="11" w16cid:durableId="185876810">
    <w:abstractNumId w:val="8"/>
  </w:num>
  <w:num w:numId="12" w16cid:durableId="2013485861">
    <w:abstractNumId w:val="5"/>
  </w:num>
  <w:num w:numId="13" w16cid:durableId="7543284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email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43"/>
    <w:rsid w:val="00000169"/>
    <w:rsid w:val="000013D3"/>
    <w:rsid w:val="00001E30"/>
    <w:rsid w:val="00004B58"/>
    <w:rsid w:val="00005244"/>
    <w:rsid w:val="00006087"/>
    <w:rsid w:val="00006860"/>
    <w:rsid w:val="00014977"/>
    <w:rsid w:val="0001513F"/>
    <w:rsid w:val="000158F1"/>
    <w:rsid w:val="000162B2"/>
    <w:rsid w:val="00017461"/>
    <w:rsid w:val="00017F00"/>
    <w:rsid w:val="000221D6"/>
    <w:rsid w:val="00023000"/>
    <w:rsid w:val="00026596"/>
    <w:rsid w:val="00032B41"/>
    <w:rsid w:val="00032EF8"/>
    <w:rsid w:val="00033084"/>
    <w:rsid w:val="00034035"/>
    <w:rsid w:val="000349D8"/>
    <w:rsid w:val="00034F87"/>
    <w:rsid w:val="000366C2"/>
    <w:rsid w:val="00036DD3"/>
    <w:rsid w:val="000419CA"/>
    <w:rsid w:val="00044002"/>
    <w:rsid w:val="00044266"/>
    <w:rsid w:val="00044DB3"/>
    <w:rsid w:val="0005001B"/>
    <w:rsid w:val="0005108F"/>
    <w:rsid w:val="0005493C"/>
    <w:rsid w:val="00054E8F"/>
    <w:rsid w:val="00055376"/>
    <w:rsid w:val="00055B74"/>
    <w:rsid w:val="00060800"/>
    <w:rsid w:val="00062A8A"/>
    <w:rsid w:val="00062D67"/>
    <w:rsid w:val="00062DC6"/>
    <w:rsid w:val="000650ED"/>
    <w:rsid w:val="00066333"/>
    <w:rsid w:val="00067501"/>
    <w:rsid w:val="0006786A"/>
    <w:rsid w:val="0007096D"/>
    <w:rsid w:val="00071B9F"/>
    <w:rsid w:val="0007438C"/>
    <w:rsid w:val="000766D5"/>
    <w:rsid w:val="00076970"/>
    <w:rsid w:val="0007755C"/>
    <w:rsid w:val="0008071A"/>
    <w:rsid w:val="0008238B"/>
    <w:rsid w:val="00082CD7"/>
    <w:rsid w:val="00082E1D"/>
    <w:rsid w:val="000831A0"/>
    <w:rsid w:val="0008323B"/>
    <w:rsid w:val="00087711"/>
    <w:rsid w:val="00087849"/>
    <w:rsid w:val="00087A3D"/>
    <w:rsid w:val="00092245"/>
    <w:rsid w:val="00092ACE"/>
    <w:rsid w:val="00093C64"/>
    <w:rsid w:val="00095A11"/>
    <w:rsid w:val="00097B97"/>
    <w:rsid w:val="000A00DE"/>
    <w:rsid w:val="000A086B"/>
    <w:rsid w:val="000A1677"/>
    <w:rsid w:val="000A1D30"/>
    <w:rsid w:val="000A1E1A"/>
    <w:rsid w:val="000A1EA1"/>
    <w:rsid w:val="000A2025"/>
    <w:rsid w:val="000A2144"/>
    <w:rsid w:val="000A2EC0"/>
    <w:rsid w:val="000A337A"/>
    <w:rsid w:val="000A34D4"/>
    <w:rsid w:val="000A3C49"/>
    <w:rsid w:val="000A5EDA"/>
    <w:rsid w:val="000A6730"/>
    <w:rsid w:val="000A72B8"/>
    <w:rsid w:val="000A7993"/>
    <w:rsid w:val="000A7E0A"/>
    <w:rsid w:val="000B1869"/>
    <w:rsid w:val="000B1B0C"/>
    <w:rsid w:val="000B27C5"/>
    <w:rsid w:val="000B4814"/>
    <w:rsid w:val="000B6BEC"/>
    <w:rsid w:val="000B73D8"/>
    <w:rsid w:val="000C1155"/>
    <w:rsid w:val="000C1D98"/>
    <w:rsid w:val="000C2287"/>
    <w:rsid w:val="000C552C"/>
    <w:rsid w:val="000C6B0C"/>
    <w:rsid w:val="000C779F"/>
    <w:rsid w:val="000D0BFE"/>
    <w:rsid w:val="000D12F8"/>
    <w:rsid w:val="000D1977"/>
    <w:rsid w:val="000D2B81"/>
    <w:rsid w:val="000D314F"/>
    <w:rsid w:val="000D5D2B"/>
    <w:rsid w:val="000D7C38"/>
    <w:rsid w:val="000E1A02"/>
    <w:rsid w:val="000E1DF8"/>
    <w:rsid w:val="000E3A69"/>
    <w:rsid w:val="000E5E2A"/>
    <w:rsid w:val="000E7086"/>
    <w:rsid w:val="000F0B99"/>
    <w:rsid w:val="000F34A7"/>
    <w:rsid w:val="000F39C3"/>
    <w:rsid w:val="000F4797"/>
    <w:rsid w:val="000F6888"/>
    <w:rsid w:val="000F790F"/>
    <w:rsid w:val="00100481"/>
    <w:rsid w:val="00100B73"/>
    <w:rsid w:val="001045A6"/>
    <w:rsid w:val="00104E9B"/>
    <w:rsid w:val="001058E0"/>
    <w:rsid w:val="00105C84"/>
    <w:rsid w:val="0010643C"/>
    <w:rsid w:val="001064A7"/>
    <w:rsid w:val="0011443F"/>
    <w:rsid w:val="0011497E"/>
    <w:rsid w:val="00114D42"/>
    <w:rsid w:val="00115103"/>
    <w:rsid w:val="00115379"/>
    <w:rsid w:val="00115462"/>
    <w:rsid w:val="00116565"/>
    <w:rsid w:val="00120A0D"/>
    <w:rsid w:val="0012304F"/>
    <w:rsid w:val="001246BC"/>
    <w:rsid w:val="00124A05"/>
    <w:rsid w:val="00124FA1"/>
    <w:rsid w:val="00125474"/>
    <w:rsid w:val="0012566F"/>
    <w:rsid w:val="001262D3"/>
    <w:rsid w:val="00126D6F"/>
    <w:rsid w:val="00127A07"/>
    <w:rsid w:val="001309A9"/>
    <w:rsid w:val="00131552"/>
    <w:rsid w:val="0013261F"/>
    <w:rsid w:val="00134800"/>
    <w:rsid w:val="00134A0B"/>
    <w:rsid w:val="00135CBF"/>
    <w:rsid w:val="00135CD7"/>
    <w:rsid w:val="001362D6"/>
    <w:rsid w:val="00142834"/>
    <w:rsid w:val="00142FD3"/>
    <w:rsid w:val="00144F4C"/>
    <w:rsid w:val="00146670"/>
    <w:rsid w:val="00146F24"/>
    <w:rsid w:val="00147E43"/>
    <w:rsid w:val="0015008F"/>
    <w:rsid w:val="00150BD1"/>
    <w:rsid w:val="00151610"/>
    <w:rsid w:val="00153984"/>
    <w:rsid w:val="00153D1F"/>
    <w:rsid w:val="00154824"/>
    <w:rsid w:val="00156D1E"/>
    <w:rsid w:val="00156EF2"/>
    <w:rsid w:val="001607D6"/>
    <w:rsid w:val="001610CA"/>
    <w:rsid w:val="001613CA"/>
    <w:rsid w:val="00161A57"/>
    <w:rsid w:val="00161E9D"/>
    <w:rsid w:val="00162CD4"/>
    <w:rsid w:val="001642C0"/>
    <w:rsid w:val="001645F1"/>
    <w:rsid w:val="00164D55"/>
    <w:rsid w:val="00165709"/>
    <w:rsid w:val="00165D62"/>
    <w:rsid w:val="00166404"/>
    <w:rsid w:val="0016743F"/>
    <w:rsid w:val="00174667"/>
    <w:rsid w:val="001766F5"/>
    <w:rsid w:val="001768A6"/>
    <w:rsid w:val="001802DE"/>
    <w:rsid w:val="001828E8"/>
    <w:rsid w:val="0018297A"/>
    <w:rsid w:val="001855FF"/>
    <w:rsid w:val="00186E9F"/>
    <w:rsid w:val="00187BEF"/>
    <w:rsid w:val="00190861"/>
    <w:rsid w:val="001914C2"/>
    <w:rsid w:val="00191CB2"/>
    <w:rsid w:val="00193933"/>
    <w:rsid w:val="00194F73"/>
    <w:rsid w:val="001951E8"/>
    <w:rsid w:val="00195399"/>
    <w:rsid w:val="00195C6D"/>
    <w:rsid w:val="001960B2"/>
    <w:rsid w:val="0019625C"/>
    <w:rsid w:val="0019764B"/>
    <w:rsid w:val="001A19BA"/>
    <w:rsid w:val="001A3800"/>
    <w:rsid w:val="001A7447"/>
    <w:rsid w:val="001A78C1"/>
    <w:rsid w:val="001A7E43"/>
    <w:rsid w:val="001B33B0"/>
    <w:rsid w:val="001B44EF"/>
    <w:rsid w:val="001B4FA1"/>
    <w:rsid w:val="001B5613"/>
    <w:rsid w:val="001B5FE5"/>
    <w:rsid w:val="001B69C3"/>
    <w:rsid w:val="001B79B9"/>
    <w:rsid w:val="001B7A61"/>
    <w:rsid w:val="001B7FB3"/>
    <w:rsid w:val="001C03DD"/>
    <w:rsid w:val="001C0DF4"/>
    <w:rsid w:val="001C1FEF"/>
    <w:rsid w:val="001C25B6"/>
    <w:rsid w:val="001C297A"/>
    <w:rsid w:val="001C333D"/>
    <w:rsid w:val="001C3443"/>
    <w:rsid w:val="001C48A4"/>
    <w:rsid w:val="001C5425"/>
    <w:rsid w:val="001C576C"/>
    <w:rsid w:val="001C7F27"/>
    <w:rsid w:val="001D20AB"/>
    <w:rsid w:val="001D245F"/>
    <w:rsid w:val="001D5BB9"/>
    <w:rsid w:val="001D6EE3"/>
    <w:rsid w:val="001E0DB9"/>
    <w:rsid w:val="001E1D50"/>
    <w:rsid w:val="001E4A94"/>
    <w:rsid w:val="001E4E51"/>
    <w:rsid w:val="001E6405"/>
    <w:rsid w:val="001E6A1E"/>
    <w:rsid w:val="001F5756"/>
    <w:rsid w:val="001F64CB"/>
    <w:rsid w:val="001F6807"/>
    <w:rsid w:val="001F783F"/>
    <w:rsid w:val="001F7C24"/>
    <w:rsid w:val="00201AC5"/>
    <w:rsid w:val="00202169"/>
    <w:rsid w:val="00202BDA"/>
    <w:rsid w:val="00203F12"/>
    <w:rsid w:val="002050D0"/>
    <w:rsid w:val="00205254"/>
    <w:rsid w:val="00205BC3"/>
    <w:rsid w:val="00213F46"/>
    <w:rsid w:val="00213FC6"/>
    <w:rsid w:val="002178D0"/>
    <w:rsid w:val="00217AD4"/>
    <w:rsid w:val="00217E6B"/>
    <w:rsid w:val="002207A6"/>
    <w:rsid w:val="00221E42"/>
    <w:rsid w:val="002228F8"/>
    <w:rsid w:val="00224038"/>
    <w:rsid w:val="00224284"/>
    <w:rsid w:val="00224F0E"/>
    <w:rsid w:val="002401B0"/>
    <w:rsid w:val="002418DB"/>
    <w:rsid w:val="00242192"/>
    <w:rsid w:val="00244B0F"/>
    <w:rsid w:val="00245099"/>
    <w:rsid w:val="0024553D"/>
    <w:rsid w:val="00246F10"/>
    <w:rsid w:val="00247943"/>
    <w:rsid w:val="0025106C"/>
    <w:rsid w:val="002511A0"/>
    <w:rsid w:val="00251963"/>
    <w:rsid w:val="00252997"/>
    <w:rsid w:val="00253ECD"/>
    <w:rsid w:val="00254030"/>
    <w:rsid w:val="00254EB5"/>
    <w:rsid w:val="00261296"/>
    <w:rsid w:val="00261512"/>
    <w:rsid w:val="002624E9"/>
    <w:rsid w:val="002636B5"/>
    <w:rsid w:val="00263F96"/>
    <w:rsid w:val="00264CED"/>
    <w:rsid w:val="00264F1B"/>
    <w:rsid w:val="00266E32"/>
    <w:rsid w:val="00267813"/>
    <w:rsid w:val="00267ACA"/>
    <w:rsid w:val="0027007C"/>
    <w:rsid w:val="002728A8"/>
    <w:rsid w:val="00272A8E"/>
    <w:rsid w:val="00272AB0"/>
    <w:rsid w:val="00273B83"/>
    <w:rsid w:val="0027402B"/>
    <w:rsid w:val="00275FB5"/>
    <w:rsid w:val="0027655E"/>
    <w:rsid w:val="00282419"/>
    <w:rsid w:val="0028253D"/>
    <w:rsid w:val="00282A5F"/>
    <w:rsid w:val="00284DD5"/>
    <w:rsid w:val="002858AE"/>
    <w:rsid w:val="002878FD"/>
    <w:rsid w:val="00292C2B"/>
    <w:rsid w:val="0029614D"/>
    <w:rsid w:val="002A2B40"/>
    <w:rsid w:val="002A2CD8"/>
    <w:rsid w:val="002A2D5A"/>
    <w:rsid w:val="002A2ED6"/>
    <w:rsid w:val="002A3E47"/>
    <w:rsid w:val="002A60DC"/>
    <w:rsid w:val="002A7837"/>
    <w:rsid w:val="002B1A4A"/>
    <w:rsid w:val="002B273C"/>
    <w:rsid w:val="002B3725"/>
    <w:rsid w:val="002B5D56"/>
    <w:rsid w:val="002C063C"/>
    <w:rsid w:val="002C1004"/>
    <w:rsid w:val="002C1871"/>
    <w:rsid w:val="002C2AE2"/>
    <w:rsid w:val="002C4547"/>
    <w:rsid w:val="002C4F14"/>
    <w:rsid w:val="002C5839"/>
    <w:rsid w:val="002C752B"/>
    <w:rsid w:val="002D12BD"/>
    <w:rsid w:val="002D1376"/>
    <w:rsid w:val="002D2DEC"/>
    <w:rsid w:val="002D34FC"/>
    <w:rsid w:val="002D3F33"/>
    <w:rsid w:val="002D48F8"/>
    <w:rsid w:val="002D4C1A"/>
    <w:rsid w:val="002D57C2"/>
    <w:rsid w:val="002D6131"/>
    <w:rsid w:val="002D615E"/>
    <w:rsid w:val="002D6B03"/>
    <w:rsid w:val="002E1078"/>
    <w:rsid w:val="002E18D7"/>
    <w:rsid w:val="002E1F2F"/>
    <w:rsid w:val="002E39FF"/>
    <w:rsid w:val="002E3DF7"/>
    <w:rsid w:val="002E5008"/>
    <w:rsid w:val="002E732D"/>
    <w:rsid w:val="002E7CA6"/>
    <w:rsid w:val="002F1A0F"/>
    <w:rsid w:val="002F3D6C"/>
    <w:rsid w:val="002F477C"/>
    <w:rsid w:val="002F6016"/>
    <w:rsid w:val="00302451"/>
    <w:rsid w:val="00302716"/>
    <w:rsid w:val="00303B8A"/>
    <w:rsid w:val="00303D8D"/>
    <w:rsid w:val="00303DD6"/>
    <w:rsid w:val="00304E17"/>
    <w:rsid w:val="00310201"/>
    <w:rsid w:val="00310D0B"/>
    <w:rsid w:val="00310ECE"/>
    <w:rsid w:val="003123D0"/>
    <w:rsid w:val="00312467"/>
    <w:rsid w:val="0031389C"/>
    <w:rsid w:val="003152F5"/>
    <w:rsid w:val="00315BAC"/>
    <w:rsid w:val="00315F30"/>
    <w:rsid w:val="003161ED"/>
    <w:rsid w:val="00316A23"/>
    <w:rsid w:val="003172F8"/>
    <w:rsid w:val="00320075"/>
    <w:rsid w:val="00320A31"/>
    <w:rsid w:val="00320A3F"/>
    <w:rsid w:val="003215CA"/>
    <w:rsid w:val="0032171F"/>
    <w:rsid w:val="0032297D"/>
    <w:rsid w:val="0032343F"/>
    <w:rsid w:val="003239D9"/>
    <w:rsid w:val="00324583"/>
    <w:rsid w:val="00325C91"/>
    <w:rsid w:val="00327407"/>
    <w:rsid w:val="00327E59"/>
    <w:rsid w:val="003305B2"/>
    <w:rsid w:val="003306A1"/>
    <w:rsid w:val="00334A50"/>
    <w:rsid w:val="00334D1C"/>
    <w:rsid w:val="00335332"/>
    <w:rsid w:val="003366D7"/>
    <w:rsid w:val="0033687A"/>
    <w:rsid w:val="00336B96"/>
    <w:rsid w:val="00337931"/>
    <w:rsid w:val="003401BC"/>
    <w:rsid w:val="00343CB8"/>
    <w:rsid w:val="0034583B"/>
    <w:rsid w:val="00346FF6"/>
    <w:rsid w:val="00350D3F"/>
    <w:rsid w:val="00351068"/>
    <w:rsid w:val="00355435"/>
    <w:rsid w:val="0035571B"/>
    <w:rsid w:val="00356262"/>
    <w:rsid w:val="00360F61"/>
    <w:rsid w:val="00361426"/>
    <w:rsid w:val="00361DD8"/>
    <w:rsid w:val="00362759"/>
    <w:rsid w:val="00364050"/>
    <w:rsid w:val="00364371"/>
    <w:rsid w:val="0036442C"/>
    <w:rsid w:val="003654CD"/>
    <w:rsid w:val="00365B2D"/>
    <w:rsid w:val="00365D50"/>
    <w:rsid w:val="003668D4"/>
    <w:rsid w:val="00366C7D"/>
    <w:rsid w:val="00367443"/>
    <w:rsid w:val="00367D3B"/>
    <w:rsid w:val="00367F9E"/>
    <w:rsid w:val="0037051A"/>
    <w:rsid w:val="00370F35"/>
    <w:rsid w:val="003713E7"/>
    <w:rsid w:val="003724E9"/>
    <w:rsid w:val="003727EB"/>
    <w:rsid w:val="0037353B"/>
    <w:rsid w:val="00373AE4"/>
    <w:rsid w:val="00373D9D"/>
    <w:rsid w:val="003745FD"/>
    <w:rsid w:val="00380C99"/>
    <w:rsid w:val="003831B6"/>
    <w:rsid w:val="00383E25"/>
    <w:rsid w:val="003909E1"/>
    <w:rsid w:val="00391FA6"/>
    <w:rsid w:val="00393731"/>
    <w:rsid w:val="003947A8"/>
    <w:rsid w:val="003952ED"/>
    <w:rsid w:val="00395434"/>
    <w:rsid w:val="00395A5D"/>
    <w:rsid w:val="00397D2D"/>
    <w:rsid w:val="00397F9F"/>
    <w:rsid w:val="003A1647"/>
    <w:rsid w:val="003A2F89"/>
    <w:rsid w:val="003A30BE"/>
    <w:rsid w:val="003A5DED"/>
    <w:rsid w:val="003A6E43"/>
    <w:rsid w:val="003A6F74"/>
    <w:rsid w:val="003B21DD"/>
    <w:rsid w:val="003B29C5"/>
    <w:rsid w:val="003B2E15"/>
    <w:rsid w:val="003B2E74"/>
    <w:rsid w:val="003B3F77"/>
    <w:rsid w:val="003B48EF"/>
    <w:rsid w:val="003B61CD"/>
    <w:rsid w:val="003B6752"/>
    <w:rsid w:val="003C2B53"/>
    <w:rsid w:val="003C2DA2"/>
    <w:rsid w:val="003C3D7F"/>
    <w:rsid w:val="003C4F56"/>
    <w:rsid w:val="003C7352"/>
    <w:rsid w:val="003C7394"/>
    <w:rsid w:val="003D104A"/>
    <w:rsid w:val="003D1132"/>
    <w:rsid w:val="003D14D7"/>
    <w:rsid w:val="003D424E"/>
    <w:rsid w:val="003D5446"/>
    <w:rsid w:val="003D6D17"/>
    <w:rsid w:val="003E0E58"/>
    <w:rsid w:val="003E2BA3"/>
    <w:rsid w:val="003E31EA"/>
    <w:rsid w:val="003E3DCB"/>
    <w:rsid w:val="003E6581"/>
    <w:rsid w:val="003E6B52"/>
    <w:rsid w:val="003E75D1"/>
    <w:rsid w:val="003F1CB9"/>
    <w:rsid w:val="003F2B91"/>
    <w:rsid w:val="003F3510"/>
    <w:rsid w:val="003F618A"/>
    <w:rsid w:val="003F7F31"/>
    <w:rsid w:val="0040072F"/>
    <w:rsid w:val="00401262"/>
    <w:rsid w:val="00401322"/>
    <w:rsid w:val="00402738"/>
    <w:rsid w:val="00404BF2"/>
    <w:rsid w:val="00404CED"/>
    <w:rsid w:val="00405C26"/>
    <w:rsid w:val="00407468"/>
    <w:rsid w:val="00410C72"/>
    <w:rsid w:val="004113BD"/>
    <w:rsid w:val="00416028"/>
    <w:rsid w:val="00416A62"/>
    <w:rsid w:val="00420888"/>
    <w:rsid w:val="00421049"/>
    <w:rsid w:val="0042113A"/>
    <w:rsid w:val="00422611"/>
    <w:rsid w:val="00425C7D"/>
    <w:rsid w:val="004300C6"/>
    <w:rsid w:val="00430E68"/>
    <w:rsid w:val="004333DE"/>
    <w:rsid w:val="00433E42"/>
    <w:rsid w:val="00435968"/>
    <w:rsid w:val="00435AAD"/>
    <w:rsid w:val="00435C21"/>
    <w:rsid w:val="004366A2"/>
    <w:rsid w:val="00437356"/>
    <w:rsid w:val="00437589"/>
    <w:rsid w:val="004401B1"/>
    <w:rsid w:val="004403EB"/>
    <w:rsid w:val="00442322"/>
    <w:rsid w:val="0044304B"/>
    <w:rsid w:val="004475DD"/>
    <w:rsid w:val="00447B3F"/>
    <w:rsid w:val="00453E1C"/>
    <w:rsid w:val="00454547"/>
    <w:rsid w:val="004551CA"/>
    <w:rsid w:val="00455AD4"/>
    <w:rsid w:val="0045664E"/>
    <w:rsid w:val="00457A66"/>
    <w:rsid w:val="0046134F"/>
    <w:rsid w:val="00462589"/>
    <w:rsid w:val="00463781"/>
    <w:rsid w:val="00463F39"/>
    <w:rsid w:val="0047073B"/>
    <w:rsid w:val="00471FFB"/>
    <w:rsid w:val="004728A5"/>
    <w:rsid w:val="00472906"/>
    <w:rsid w:val="00474A86"/>
    <w:rsid w:val="0047616B"/>
    <w:rsid w:val="00476BD0"/>
    <w:rsid w:val="00477857"/>
    <w:rsid w:val="004817D8"/>
    <w:rsid w:val="00483BB7"/>
    <w:rsid w:val="00484A70"/>
    <w:rsid w:val="00484CE4"/>
    <w:rsid w:val="00484DC6"/>
    <w:rsid w:val="00485076"/>
    <w:rsid w:val="004852C9"/>
    <w:rsid w:val="00485870"/>
    <w:rsid w:val="0048672F"/>
    <w:rsid w:val="00490B90"/>
    <w:rsid w:val="0049113D"/>
    <w:rsid w:val="0049132F"/>
    <w:rsid w:val="00495A30"/>
    <w:rsid w:val="0049605B"/>
    <w:rsid w:val="0049790B"/>
    <w:rsid w:val="004A03FB"/>
    <w:rsid w:val="004A1724"/>
    <w:rsid w:val="004A21B8"/>
    <w:rsid w:val="004A2FAE"/>
    <w:rsid w:val="004A6443"/>
    <w:rsid w:val="004A6B15"/>
    <w:rsid w:val="004A7ABD"/>
    <w:rsid w:val="004A7D28"/>
    <w:rsid w:val="004B49EC"/>
    <w:rsid w:val="004B4C95"/>
    <w:rsid w:val="004B4E22"/>
    <w:rsid w:val="004C133B"/>
    <w:rsid w:val="004C1B31"/>
    <w:rsid w:val="004C297A"/>
    <w:rsid w:val="004C389E"/>
    <w:rsid w:val="004C3EBA"/>
    <w:rsid w:val="004C5DF3"/>
    <w:rsid w:val="004C5ED8"/>
    <w:rsid w:val="004C6901"/>
    <w:rsid w:val="004D1CED"/>
    <w:rsid w:val="004D5EDF"/>
    <w:rsid w:val="004D63E3"/>
    <w:rsid w:val="004D6922"/>
    <w:rsid w:val="004D7651"/>
    <w:rsid w:val="004E1A7D"/>
    <w:rsid w:val="004E1AC6"/>
    <w:rsid w:val="004E27AE"/>
    <w:rsid w:val="004E323E"/>
    <w:rsid w:val="004E3A25"/>
    <w:rsid w:val="004E3E95"/>
    <w:rsid w:val="004E4AD6"/>
    <w:rsid w:val="004E6615"/>
    <w:rsid w:val="004E6814"/>
    <w:rsid w:val="004F0729"/>
    <w:rsid w:val="004F09E3"/>
    <w:rsid w:val="004F1275"/>
    <w:rsid w:val="004F24F2"/>
    <w:rsid w:val="004F2700"/>
    <w:rsid w:val="004F29DA"/>
    <w:rsid w:val="004F4A74"/>
    <w:rsid w:val="005024DC"/>
    <w:rsid w:val="00503095"/>
    <w:rsid w:val="00504443"/>
    <w:rsid w:val="005044E1"/>
    <w:rsid w:val="00504A5F"/>
    <w:rsid w:val="00505601"/>
    <w:rsid w:val="00505850"/>
    <w:rsid w:val="00505C9C"/>
    <w:rsid w:val="005061AA"/>
    <w:rsid w:val="00506DF1"/>
    <w:rsid w:val="005071D2"/>
    <w:rsid w:val="00507B3C"/>
    <w:rsid w:val="0051322A"/>
    <w:rsid w:val="005142C0"/>
    <w:rsid w:val="00517111"/>
    <w:rsid w:val="00520AEA"/>
    <w:rsid w:val="00520BE6"/>
    <w:rsid w:val="00520C82"/>
    <w:rsid w:val="00521B07"/>
    <w:rsid w:val="005228D2"/>
    <w:rsid w:val="00524989"/>
    <w:rsid w:val="00525ABD"/>
    <w:rsid w:val="00525F88"/>
    <w:rsid w:val="0052644D"/>
    <w:rsid w:val="00527304"/>
    <w:rsid w:val="00527C61"/>
    <w:rsid w:val="00532363"/>
    <w:rsid w:val="005354AE"/>
    <w:rsid w:val="00536B9B"/>
    <w:rsid w:val="00537515"/>
    <w:rsid w:val="00537656"/>
    <w:rsid w:val="005376D6"/>
    <w:rsid w:val="00537A4D"/>
    <w:rsid w:val="00537C68"/>
    <w:rsid w:val="00540AD1"/>
    <w:rsid w:val="00545533"/>
    <w:rsid w:val="0054647F"/>
    <w:rsid w:val="0054661B"/>
    <w:rsid w:val="00550C81"/>
    <w:rsid w:val="00551B4C"/>
    <w:rsid w:val="005531EC"/>
    <w:rsid w:val="00553FBC"/>
    <w:rsid w:val="005547BF"/>
    <w:rsid w:val="00554D9D"/>
    <w:rsid w:val="005552E9"/>
    <w:rsid w:val="00555B91"/>
    <w:rsid w:val="00561FE2"/>
    <w:rsid w:val="00562D02"/>
    <w:rsid w:val="0056315C"/>
    <w:rsid w:val="0056335A"/>
    <w:rsid w:val="00563E7E"/>
    <w:rsid w:val="005642DD"/>
    <w:rsid w:val="00564C9B"/>
    <w:rsid w:val="00571647"/>
    <w:rsid w:val="00571819"/>
    <w:rsid w:val="00572DA2"/>
    <w:rsid w:val="00576028"/>
    <w:rsid w:val="005763DB"/>
    <w:rsid w:val="005775FE"/>
    <w:rsid w:val="00577677"/>
    <w:rsid w:val="0058017E"/>
    <w:rsid w:val="00581327"/>
    <w:rsid w:val="00581C97"/>
    <w:rsid w:val="0058265B"/>
    <w:rsid w:val="00582D22"/>
    <w:rsid w:val="0058388D"/>
    <w:rsid w:val="005839E3"/>
    <w:rsid w:val="00585A0A"/>
    <w:rsid w:val="00585B36"/>
    <w:rsid w:val="005864AD"/>
    <w:rsid w:val="00587061"/>
    <w:rsid w:val="00587F82"/>
    <w:rsid w:val="00591B8C"/>
    <w:rsid w:val="00593090"/>
    <w:rsid w:val="005954B4"/>
    <w:rsid w:val="00595CAD"/>
    <w:rsid w:val="00595FD2"/>
    <w:rsid w:val="00596CED"/>
    <w:rsid w:val="005A2501"/>
    <w:rsid w:val="005A2AF1"/>
    <w:rsid w:val="005A3968"/>
    <w:rsid w:val="005A44FF"/>
    <w:rsid w:val="005A5299"/>
    <w:rsid w:val="005A7A4D"/>
    <w:rsid w:val="005A7E70"/>
    <w:rsid w:val="005B006B"/>
    <w:rsid w:val="005B12FA"/>
    <w:rsid w:val="005B1718"/>
    <w:rsid w:val="005B2A69"/>
    <w:rsid w:val="005B4768"/>
    <w:rsid w:val="005B493E"/>
    <w:rsid w:val="005B7249"/>
    <w:rsid w:val="005C01AE"/>
    <w:rsid w:val="005C025A"/>
    <w:rsid w:val="005C11B5"/>
    <w:rsid w:val="005C1943"/>
    <w:rsid w:val="005C3C3C"/>
    <w:rsid w:val="005C41EF"/>
    <w:rsid w:val="005C575F"/>
    <w:rsid w:val="005C60BB"/>
    <w:rsid w:val="005C6A0D"/>
    <w:rsid w:val="005C6BBE"/>
    <w:rsid w:val="005C6D52"/>
    <w:rsid w:val="005C6DB6"/>
    <w:rsid w:val="005C7415"/>
    <w:rsid w:val="005D053D"/>
    <w:rsid w:val="005D0910"/>
    <w:rsid w:val="005D42A6"/>
    <w:rsid w:val="005D42B1"/>
    <w:rsid w:val="005D59CD"/>
    <w:rsid w:val="005D738B"/>
    <w:rsid w:val="005E0B44"/>
    <w:rsid w:val="005E1864"/>
    <w:rsid w:val="005E236A"/>
    <w:rsid w:val="005E3B90"/>
    <w:rsid w:val="005E419A"/>
    <w:rsid w:val="005E51FF"/>
    <w:rsid w:val="005E58E1"/>
    <w:rsid w:val="005E5B24"/>
    <w:rsid w:val="005E5B52"/>
    <w:rsid w:val="005E5ECB"/>
    <w:rsid w:val="005E6125"/>
    <w:rsid w:val="005E7020"/>
    <w:rsid w:val="005F084E"/>
    <w:rsid w:val="005F0A8A"/>
    <w:rsid w:val="005F3FF0"/>
    <w:rsid w:val="005F4524"/>
    <w:rsid w:val="005F4ABC"/>
    <w:rsid w:val="005F5EB0"/>
    <w:rsid w:val="005F772B"/>
    <w:rsid w:val="005F7A84"/>
    <w:rsid w:val="0060060A"/>
    <w:rsid w:val="00602381"/>
    <w:rsid w:val="006028B1"/>
    <w:rsid w:val="00602E5F"/>
    <w:rsid w:val="00603141"/>
    <w:rsid w:val="00603B79"/>
    <w:rsid w:val="00603B91"/>
    <w:rsid w:val="00604274"/>
    <w:rsid w:val="0060552B"/>
    <w:rsid w:val="00611326"/>
    <w:rsid w:val="00611C5C"/>
    <w:rsid w:val="00611EFE"/>
    <w:rsid w:val="00612725"/>
    <w:rsid w:val="0061416D"/>
    <w:rsid w:val="006146A8"/>
    <w:rsid w:val="00614E76"/>
    <w:rsid w:val="006155CF"/>
    <w:rsid w:val="006160C8"/>
    <w:rsid w:val="00621963"/>
    <w:rsid w:val="006223AD"/>
    <w:rsid w:val="00623B0C"/>
    <w:rsid w:val="006257D7"/>
    <w:rsid w:val="00626065"/>
    <w:rsid w:val="00626382"/>
    <w:rsid w:val="00632A2F"/>
    <w:rsid w:val="00634862"/>
    <w:rsid w:val="00635DD9"/>
    <w:rsid w:val="00635F63"/>
    <w:rsid w:val="00640878"/>
    <w:rsid w:val="00643505"/>
    <w:rsid w:val="0064499D"/>
    <w:rsid w:val="006454CC"/>
    <w:rsid w:val="0064654D"/>
    <w:rsid w:val="0064668C"/>
    <w:rsid w:val="006478ED"/>
    <w:rsid w:val="00647974"/>
    <w:rsid w:val="00650A3A"/>
    <w:rsid w:val="00650A73"/>
    <w:rsid w:val="006529D6"/>
    <w:rsid w:val="00653FBB"/>
    <w:rsid w:val="0065523B"/>
    <w:rsid w:val="0065675B"/>
    <w:rsid w:val="00660A8C"/>
    <w:rsid w:val="0066376E"/>
    <w:rsid w:val="00663D34"/>
    <w:rsid w:val="006642E5"/>
    <w:rsid w:val="0066436B"/>
    <w:rsid w:val="00664659"/>
    <w:rsid w:val="006648C4"/>
    <w:rsid w:val="006669D1"/>
    <w:rsid w:val="00667BA1"/>
    <w:rsid w:val="0067027E"/>
    <w:rsid w:val="00670BEE"/>
    <w:rsid w:val="0067115A"/>
    <w:rsid w:val="0067201E"/>
    <w:rsid w:val="006723C7"/>
    <w:rsid w:val="006733E8"/>
    <w:rsid w:val="006756EC"/>
    <w:rsid w:val="006756FC"/>
    <w:rsid w:val="00675820"/>
    <w:rsid w:val="00675D0C"/>
    <w:rsid w:val="00675EBD"/>
    <w:rsid w:val="00676235"/>
    <w:rsid w:val="00676F20"/>
    <w:rsid w:val="00680B54"/>
    <w:rsid w:val="00682D20"/>
    <w:rsid w:val="0068337D"/>
    <w:rsid w:val="00683E88"/>
    <w:rsid w:val="00685043"/>
    <w:rsid w:val="00685126"/>
    <w:rsid w:val="0068657C"/>
    <w:rsid w:val="006952F0"/>
    <w:rsid w:val="006963D2"/>
    <w:rsid w:val="006973A5"/>
    <w:rsid w:val="00697575"/>
    <w:rsid w:val="006A00DF"/>
    <w:rsid w:val="006A062A"/>
    <w:rsid w:val="006A1E09"/>
    <w:rsid w:val="006A3419"/>
    <w:rsid w:val="006A3C9A"/>
    <w:rsid w:val="006A4148"/>
    <w:rsid w:val="006A437E"/>
    <w:rsid w:val="006A54C3"/>
    <w:rsid w:val="006A5DB5"/>
    <w:rsid w:val="006A640B"/>
    <w:rsid w:val="006A7A3C"/>
    <w:rsid w:val="006A7ECC"/>
    <w:rsid w:val="006B03F0"/>
    <w:rsid w:val="006B19D1"/>
    <w:rsid w:val="006B2ADD"/>
    <w:rsid w:val="006B2CA3"/>
    <w:rsid w:val="006B2F86"/>
    <w:rsid w:val="006B3936"/>
    <w:rsid w:val="006B3B72"/>
    <w:rsid w:val="006B5123"/>
    <w:rsid w:val="006B5EA5"/>
    <w:rsid w:val="006B60A6"/>
    <w:rsid w:val="006B650F"/>
    <w:rsid w:val="006B68CC"/>
    <w:rsid w:val="006B7DE5"/>
    <w:rsid w:val="006C035F"/>
    <w:rsid w:val="006C3AF8"/>
    <w:rsid w:val="006C3BE5"/>
    <w:rsid w:val="006C4385"/>
    <w:rsid w:val="006C4E14"/>
    <w:rsid w:val="006C5A37"/>
    <w:rsid w:val="006C6CFF"/>
    <w:rsid w:val="006C6D8D"/>
    <w:rsid w:val="006C6DCB"/>
    <w:rsid w:val="006C7AFD"/>
    <w:rsid w:val="006D0B66"/>
    <w:rsid w:val="006D0B7D"/>
    <w:rsid w:val="006D1635"/>
    <w:rsid w:val="006D182D"/>
    <w:rsid w:val="006D23EF"/>
    <w:rsid w:val="006D3D9F"/>
    <w:rsid w:val="006D5E66"/>
    <w:rsid w:val="006D7467"/>
    <w:rsid w:val="006D74B0"/>
    <w:rsid w:val="006D7A25"/>
    <w:rsid w:val="006E0634"/>
    <w:rsid w:val="006E0B29"/>
    <w:rsid w:val="006E0DB3"/>
    <w:rsid w:val="006E18EC"/>
    <w:rsid w:val="006E1DBB"/>
    <w:rsid w:val="006E27F8"/>
    <w:rsid w:val="006E335A"/>
    <w:rsid w:val="006E3A3B"/>
    <w:rsid w:val="006E6C76"/>
    <w:rsid w:val="006E7261"/>
    <w:rsid w:val="006F0636"/>
    <w:rsid w:val="006F0FDF"/>
    <w:rsid w:val="006F4A34"/>
    <w:rsid w:val="006F5022"/>
    <w:rsid w:val="007000AB"/>
    <w:rsid w:val="0070077F"/>
    <w:rsid w:val="00700BFA"/>
    <w:rsid w:val="00704FBA"/>
    <w:rsid w:val="00705401"/>
    <w:rsid w:val="007075B3"/>
    <w:rsid w:val="00710350"/>
    <w:rsid w:val="007201F3"/>
    <w:rsid w:val="007204F9"/>
    <w:rsid w:val="00720B0E"/>
    <w:rsid w:val="00722BC3"/>
    <w:rsid w:val="007243C9"/>
    <w:rsid w:val="00724502"/>
    <w:rsid w:val="007251C1"/>
    <w:rsid w:val="00725295"/>
    <w:rsid w:val="00725BE6"/>
    <w:rsid w:val="00726439"/>
    <w:rsid w:val="007270C0"/>
    <w:rsid w:val="00730B38"/>
    <w:rsid w:val="00732A91"/>
    <w:rsid w:val="0073410F"/>
    <w:rsid w:val="00734471"/>
    <w:rsid w:val="007366FE"/>
    <w:rsid w:val="007403DA"/>
    <w:rsid w:val="00742303"/>
    <w:rsid w:val="00742971"/>
    <w:rsid w:val="00743530"/>
    <w:rsid w:val="0074441D"/>
    <w:rsid w:val="00744504"/>
    <w:rsid w:val="00744C93"/>
    <w:rsid w:val="00746582"/>
    <w:rsid w:val="00747A85"/>
    <w:rsid w:val="00747C2E"/>
    <w:rsid w:val="0075147D"/>
    <w:rsid w:val="00751801"/>
    <w:rsid w:val="00752180"/>
    <w:rsid w:val="0075302C"/>
    <w:rsid w:val="00754744"/>
    <w:rsid w:val="0075587C"/>
    <w:rsid w:val="00755B46"/>
    <w:rsid w:val="007560A8"/>
    <w:rsid w:val="00757607"/>
    <w:rsid w:val="00757E86"/>
    <w:rsid w:val="00757EA3"/>
    <w:rsid w:val="00760C39"/>
    <w:rsid w:val="00761A85"/>
    <w:rsid w:val="00761C3F"/>
    <w:rsid w:val="0076384E"/>
    <w:rsid w:val="007642B3"/>
    <w:rsid w:val="007656CF"/>
    <w:rsid w:val="00766022"/>
    <w:rsid w:val="00766D42"/>
    <w:rsid w:val="007673D0"/>
    <w:rsid w:val="0077118A"/>
    <w:rsid w:val="007725F7"/>
    <w:rsid w:val="00772999"/>
    <w:rsid w:val="00772E8C"/>
    <w:rsid w:val="00773BB4"/>
    <w:rsid w:val="00774F0B"/>
    <w:rsid w:val="00777FD3"/>
    <w:rsid w:val="00781826"/>
    <w:rsid w:val="007836B5"/>
    <w:rsid w:val="00783B41"/>
    <w:rsid w:val="00785CFA"/>
    <w:rsid w:val="00786866"/>
    <w:rsid w:val="00790AE2"/>
    <w:rsid w:val="007948B6"/>
    <w:rsid w:val="00794DCF"/>
    <w:rsid w:val="00794FB6"/>
    <w:rsid w:val="00796120"/>
    <w:rsid w:val="0079753B"/>
    <w:rsid w:val="007A1BB8"/>
    <w:rsid w:val="007A35E0"/>
    <w:rsid w:val="007A6FBF"/>
    <w:rsid w:val="007A7909"/>
    <w:rsid w:val="007A7D73"/>
    <w:rsid w:val="007B02A8"/>
    <w:rsid w:val="007B17AD"/>
    <w:rsid w:val="007B5891"/>
    <w:rsid w:val="007B5D5A"/>
    <w:rsid w:val="007B5FE5"/>
    <w:rsid w:val="007B657D"/>
    <w:rsid w:val="007C0171"/>
    <w:rsid w:val="007C1FCA"/>
    <w:rsid w:val="007C2872"/>
    <w:rsid w:val="007C2F0D"/>
    <w:rsid w:val="007C4A76"/>
    <w:rsid w:val="007C4C83"/>
    <w:rsid w:val="007C5704"/>
    <w:rsid w:val="007C58D4"/>
    <w:rsid w:val="007C64E9"/>
    <w:rsid w:val="007D02A1"/>
    <w:rsid w:val="007D1A1C"/>
    <w:rsid w:val="007D4025"/>
    <w:rsid w:val="007D4AC5"/>
    <w:rsid w:val="007D52B7"/>
    <w:rsid w:val="007D666C"/>
    <w:rsid w:val="007D6C66"/>
    <w:rsid w:val="007E029B"/>
    <w:rsid w:val="007E0BF1"/>
    <w:rsid w:val="007E0CE4"/>
    <w:rsid w:val="007E2C86"/>
    <w:rsid w:val="007E33A6"/>
    <w:rsid w:val="007E37FD"/>
    <w:rsid w:val="007E4E82"/>
    <w:rsid w:val="007E5F13"/>
    <w:rsid w:val="007E78B4"/>
    <w:rsid w:val="007E7B36"/>
    <w:rsid w:val="007F07AB"/>
    <w:rsid w:val="007F0962"/>
    <w:rsid w:val="007F0A89"/>
    <w:rsid w:val="007F10A4"/>
    <w:rsid w:val="007F16CA"/>
    <w:rsid w:val="007F1F07"/>
    <w:rsid w:val="007F2D02"/>
    <w:rsid w:val="007F39E1"/>
    <w:rsid w:val="007F40D6"/>
    <w:rsid w:val="007F45C8"/>
    <w:rsid w:val="007F61C7"/>
    <w:rsid w:val="007F6300"/>
    <w:rsid w:val="00801132"/>
    <w:rsid w:val="008030F5"/>
    <w:rsid w:val="00803E55"/>
    <w:rsid w:val="0080505A"/>
    <w:rsid w:val="0080589F"/>
    <w:rsid w:val="00805B5F"/>
    <w:rsid w:val="00805FC0"/>
    <w:rsid w:val="00806205"/>
    <w:rsid w:val="008066BB"/>
    <w:rsid w:val="00806F9C"/>
    <w:rsid w:val="00807F85"/>
    <w:rsid w:val="008102BB"/>
    <w:rsid w:val="00811FE2"/>
    <w:rsid w:val="0081429A"/>
    <w:rsid w:val="00816AF0"/>
    <w:rsid w:val="00816C4C"/>
    <w:rsid w:val="008175B9"/>
    <w:rsid w:val="00821693"/>
    <w:rsid w:val="0082348D"/>
    <w:rsid w:val="008268CD"/>
    <w:rsid w:val="008270D7"/>
    <w:rsid w:val="008315F2"/>
    <w:rsid w:val="00833844"/>
    <w:rsid w:val="0083413A"/>
    <w:rsid w:val="00835E99"/>
    <w:rsid w:val="008404DA"/>
    <w:rsid w:val="008454CD"/>
    <w:rsid w:val="008456CB"/>
    <w:rsid w:val="00846667"/>
    <w:rsid w:val="008466DF"/>
    <w:rsid w:val="00847E22"/>
    <w:rsid w:val="00850043"/>
    <w:rsid w:val="00851A29"/>
    <w:rsid w:val="00851DC6"/>
    <w:rsid w:val="0085398E"/>
    <w:rsid w:val="00854190"/>
    <w:rsid w:val="00855C1D"/>
    <w:rsid w:val="00856019"/>
    <w:rsid w:val="00857D12"/>
    <w:rsid w:val="008611A0"/>
    <w:rsid w:val="00862465"/>
    <w:rsid w:val="00864495"/>
    <w:rsid w:val="00864784"/>
    <w:rsid w:val="00864AC0"/>
    <w:rsid w:val="008659F5"/>
    <w:rsid w:val="008667B0"/>
    <w:rsid w:val="008676B2"/>
    <w:rsid w:val="00870102"/>
    <w:rsid w:val="00870714"/>
    <w:rsid w:val="00870D1C"/>
    <w:rsid w:val="00871DD4"/>
    <w:rsid w:val="008722D9"/>
    <w:rsid w:val="00872847"/>
    <w:rsid w:val="00872976"/>
    <w:rsid w:val="00872B18"/>
    <w:rsid w:val="00873666"/>
    <w:rsid w:val="008743BF"/>
    <w:rsid w:val="0087441A"/>
    <w:rsid w:val="00877D52"/>
    <w:rsid w:val="00881CB5"/>
    <w:rsid w:val="00881D23"/>
    <w:rsid w:val="008820E6"/>
    <w:rsid w:val="00882583"/>
    <w:rsid w:val="008825F4"/>
    <w:rsid w:val="0088279B"/>
    <w:rsid w:val="00884E72"/>
    <w:rsid w:val="008857AA"/>
    <w:rsid w:val="0089060C"/>
    <w:rsid w:val="00890D45"/>
    <w:rsid w:val="00891074"/>
    <w:rsid w:val="008910AF"/>
    <w:rsid w:val="00892903"/>
    <w:rsid w:val="00892B10"/>
    <w:rsid w:val="00893782"/>
    <w:rsid w:val="00893FAA"/>
    <w:rsid w:val="00895ED5"/>
    <w:rsid w:val="00895EF3"/>
    <w:rsid w:val="00897332"/>
    <w:rsid w:val="008A0F96"/>
    <w:rsid w:val="008A1BEE"/>
    <w:rsid w:val="008A21AE"/>
    <w:rsid w:val="008A304A"/>
    <w:rsid w:val="008A389F"/>
    <w:rsid w:val="008A3A35"/>
    <w:rsid w:val="008A531D"/>
    <w:rsid w:val="008A594F"/>
    <w:rsid w:val="008B0EB9"/>
    <w:rsid w:val="008B1328"/>
    <w:rsid w:val="008B3232"/>
    <w:rsid w:val="008B3FEF"/>
    <w:rsid w:val="008B6D55"/>
    <w:rsid w:val="008C3B72"/>
    <w:rsid w:val="008C3E6D"/>
    <w:rsid w:val="008C4379"/>
    <w:rsid w:val="008C5FB5"/>
    <w:rsid w:val="008C67EB"/>
    <w:rsid w:val="008C782F"/>
    <w:rsid w:val="008C7E08"/>
    <w:rsid w:val="008D0F71"/>
    <w:rsid w:val="008D1230"/>
    <w:rsid w:val="008D2512"/>
    <w:rsid w:val="008D487B"/>
    <w:rsid w:val="008D49F6"/>
    <w:rsid w:val="008D5313"/>
    <w:rsid w:val="008D576F"/>
    <w:rsid w:val="008D6C27"/>
    <w:rsid w:val="008D7CA2"/>
    <w:rsid w:val="008E02B4"/>
    <w:rsid w:val="008E0A13"/>
    <w:rsid w:val="008E1318"/>
    <w:rsid w:val="008E1BD7"/>
    <w:rsid w:val="008E265E"/>
    <w:rsid w:val="008E26C8"/>
    <w:rsid w:val="008E31EC"/>
    <w:rsid w:val="008E37FC"/>
    <w:rsid w:val="008E48CE"/>
    <w:rsid w:val="008E56B6"/>
    <w:rsid w:val="008E5F5E"/>
    <w:rsid w:val="008F06AA"/>
    <w:rsid w:val="008F11D5"/>
    <w:rsid w:val="008F472D"/>
    <w:rsid w:val="008F621B"/>
    <w:rsid w:val="008F659D"/>
    <w:rsid w:val="008F69D5"/>
    <w:rsid w:val="008F6F41"/>
    <w:rsid w:val="0090211A"/>
    <w:rsid w:val="009025CC"/>
    <w:rsid w:val="00903A4E"/>
    <w:rsid w:val="009047C8"/>
    <w:rsid w:val="00904D42"/>
    <w:rsid w:val="0090528F"/>
    <w:rsid w:val="009065D8"/>
    <w:rsid w:val="00906FDC"/>
    <w:rsid w:val="009073DD"/>
    <w:rsid w:val="00907436"/>
    <w:rsid w:val="00907818"/>
    <w:rsid w:val="009100B7"/>
    <w:rsid w:val="00910CBA"/>
    <w:rsid w:val="00912FA3"/>
    <w:rsid w:val="00912FEF"/>
    <w:rsid w:val="009139AF"/>
    <w:rsid w:val="00914FD1"/>
    <w:rsid w:val="00915B01"/>
    <w:rsid w:val="00915CEC"/>
    <w:rsid w:val="0091603D"/>
    <w:rsid w:val="009224FC"/>
    <w:rsid w:val="00926110"/>
    <w:rsid w:val="009263C2"/>
    <w:rsid w:val="009308CD"/>
    <w:rsid w:val="00930E42"/>
    <w:rsid w:val="009330DE"/>
    <w:rsid w:val="009331BD"/>
    <w:rsid w:val="00934899"/>
    <w:rsid w:val="009358CC"/>
    <w:rsid w:val="00937940"/>
    <w:rsid w:val="009420E7"/>
    <w:rsid w:val="009430BD"/>
    <w:rsid w:val="00943C78"/>
    <w:rsid w:val="00943FFA"/>
    <w:rsid w:val="00944D10"/>
    <w:rsid w:val="00945AF2"/>
    <w:rsid w:val="009471C7"/>
    <w:rsid w:val="00947AC8"/>
    <w:rsid w:val="00947BA5"/>
    <w:rsid w:val="00950AD8"/>
    <w:rsid w:val="00951A46"/>
    <w:rsid w:val="0095568B"/>
    <w:rsid w:val="009563E8"/>
    <w:rsid w:val="00957974"/>
    <w:rsid w:val="00957FF9"/>
    <w:rsid w:val="00960232"/>
    <w:rsid w:val="00961386"/>
    <w:rsid w:val="00962A49"/>
    <w:rsid w:val="009638B3"/>
    <w:rsid w:val="00970450"/>
    <w:rsid w:val="00970853"/>
    <w:rsid w:val="0097099D"/>
    <w:rsid w:val="00975546"/>
    <w:rsid w:val="00976AD3"/>
    <w:rsid w:val="00977317"/>
    <w:rsid w:val="009774DC"/>
    <w:rsid w:val="00977832"/>
    <w:rsid w:val="009808F6"/>
    <w:rsid w:val="0098288C"/>
    <w:rsid w:val="00983579"/>
    <w:rsid w:val="0098366D"/>
    <w:rsid w:val="009836A6"/>
    <w:rsid w:val="0098573B"/>
    <w:rsid w:val="00996EDA"/>
    <w:rsid w:val="009977AA"/>
    <w:rsid w:val="009A05A6"/>
    <w:rsid w:val="009A1DCA"/>
    <w:rsid w:val="009A24CC"/>
    <w:rsid w:val="009A3086"/>
    <w:rsid w:val="009A4429"/>
    <w:rsid w:val="009A4D08"/>
    <w:rsid w:val="009A5048"/>
    <w:rsid w:val="009A515B"/>
    <w:rsid w:val="009A6092"/>
    <w:rsid w:val="009A6859"/>
    <w:rsid w:val="009A7905"/>
    <w:rsid w:val="009B0181"/>
    <w:rsid w:val="009B4613"/>
    <w:rsid w:val="009B4FEE"/>
    <w:rsid w:val="009B6DA6"/>
    <w:rsid w:val="009B7C12"/>
    <w:rsid w:val="009B7D7F"/>
    <w:rsid w:val="009C181E"/>
    <w:rsid w:val="009C4DDF"/>
    <w:rsid w:val="009C5136"/>
    <w:rsid w:val="009C63C2"/>
    <w:rsid w:val="009C6555"/>
    <w:rsid w:val="009D0E88"/>
    <w:rsid w:val="009D150F"/>
    <w:rsid w:val="009D5E6C"/>
    <w:rsid w:val="009D73C5"/>
    <w:rsid w:val="009E2261"/>
    <w:rsid w:val="009E2662"/>
    <w:rsid w:val="009E36B5"/>
    <w:rsid w:val="009E3AA1"/>
    <w:rsid w:val="009F012D"/>
    <w:rsid w:val="009F0CA8"/>
    <w:rsid w:val="009F1744"/>
    <w:rsid w:val="009F1949"/>
    <w:rsid w:val="009F1A8B"/>
    <w:rsid w:val="009F4198"/>
    <w:rsid w:val="009F569C"/>
    <w:rsid w:val="009F5B5C"/>
    <w:rsid w:val="009F5C2E"/>
    <w:rsid w:val="009F7CC2"/>
    <w:rsid w:val="00A00BF5"/>
    <w:rsid w:val="00A01EB4"/>
    <w:rsid w:val="00A020B8"/>
    <w:rsid w:val="00A02527"/>
    <w:rsid w:val="00A0532F"/>
    <w:rsid w:val="00A06127"/>
    <w:rsid w:val="00A071F3"/>
    <w:rsid w:val="00A07E80"/>
    <w:rsid w:val="00A1037F"/>
    <w:rsid w:val="00A10A9C"/>
    <w:rsid w:val="00A114A1"/>
    <w:rsid w:val="00A12522"/>
    <w:rsid w:val="00A144A3"/>
    <w:rsid w:val="00A14650"/>
    <w:rsid w:val="00A14763"/>
    <w:rsid w:val="00A16762"/>
    <w:rsid w:val="00A1688A"/>
    <w:rsid w:val="00A177F0"/>
    <w:rsid w:val="00A22DEF"/>
    <w:rsid w:val="00A22F5D"/>
    <w:rsid w:val="00A2430B"/>
    <w:rsid w:val="00A257D9"/>
    <w:rsid w:val="00A25F05"/>
    <w:rsid w:val="00A26182"/>
    <w:rsid w:val="00A26EDB"/>
    <w:rsid w:val="00A2750F"/>
    <w:rsid w:val="00A278C7"/>
    <w:rsid w:val="00A414E1"/>
    <w:rsid w:val="00A41BA7"/>
    <w:rsid w:val="00A42EAA"/>
    <w:rsid w:val="00A43387"/>
    <w:rsid w:val="00A43682"/>
    <w:rsid w:val="00A46AFF"/>
    <w:rsid w:val="00A4779D"/>
    <w:rsid w:val="00A50114"/>
    <w:rsid w:val="00A51840"/>
    <w:rsid w:val="00A520B1"/>
    <w:rsid w:val="00A55739"/>
    <w:rsid w:val="00A60208"/>
    <w:rsid w:val="00A60B81"/>
    <w:rsid w:val="00A6286E"/>
    <w:rsid w:val="00A6400E"/>
    <w:rsid w:val="00A64535"/>
    <w:rsid w:val="00A666C1"/>
    <w:rsid w:val="00A7019E"/>
    <w:rsid w:val="00A70AFB"/>
    <w:rsid w:val="00A7149F"/>
    <w:rsid w:val="00A71A8B"/>
    <w:rsid w:val="00A71F9A"/>
    <w:rsid w:val="00A72EC7"/>
    <w:rsid w:val="00A73218"/>
    <w:rsid w:val="00A732A1"/>
    <w:rsid w:val="00A745C6"/>
    <w:rsid w:val="00A757DD"/>
    <w:rsid w:val="00A80ECC"/>
    <w:rsid w:val="00A81442"/>
    <w:rsid w:val="00A84275"/>
    <w:rsid w:val="00A85E41"/>
    <w:rsid w:val="00A8617F"/>
    <w:rsid w:val="00A8750A"/>
    <w:rsid w:val="00A87E96"/>
    <w:rsid w:val="00A90878"/>
    <w:rsid w:val="00A908BE"/>
    <w:rsid w:val="00A9273C"/>
    <w:rsid w:val="00A928C2"/>
    <w:rsid w:val="00A929EE"/>
    <w:rsid w:val="00A941CA"/>
    <w:rsid w:val="00A95C21"/>
    <w:rsid w:val="00A97B14"/>
    <w:rsid w:val="00AA0055"/>
    <w:rsid w:val="00AA0A59"/>
    <w:rsid w:val="00AA1435"/>
    <w:rsid w:val="00AA16B8"/>
    <w:rsid w:val="00AA24D9"/>
    <w:rsid w:val="00AA2604"/>
    <w:rsid w:val="00AA2D4E"/>
    <w:rsid w:val="00AA3035"/>
    <w:rsid w:val="00AA6103"/>
    <w:rsid w:val="00AA6453"/>
    <w:rsid w:val="00AA66C1"/>
    <w:rsid w:val="00AA6BA4"/>
    <w:rsid w:val="00AB018D"/>
    <w:rsid w:val="00AB0580"/>
    <w:rsid w:val="00AB12AC"/>
    <w:rsid w:val="00AB1947"/>
    <w:rsid w:val="00AB24BA"/>
    <w:rsid w:val="00AB342B"/>
    <w:rsid w:val="00AB352D"/>
    <w:rsid w:val="00AB36AC"/>
    <w:rsid w:val="00AB39A4"/>
    <w:rsid w:val="00AB4419"/>
    <w:rsid w:val="00AC08E3"/>
    <w:rsid w:val="00AC0E0C"/>
    <w:rsid w:val="00AC1037"/>
    <w:rsid w:val="00AC12D8"/>
    <w:rsid w:val="00AC3C60"/>
    <w:rsid w:val="00AC57E5"/>
    <w:rsid w:val="00AC5A00"/>
    <w:rsid w:val="00AC75B5"/>
    <w:rsid w:val="00AD068B"/>
    <w:rsid w:val="00AD0B10"/>
    <w:rsid w:val="00AD2C6F"/>
    <w:rsid w:val="00AD4CC5"/>
    <w:rsid w:val="00AE125F"/>
    <w:rsid w:val="00AE1994"/>
    <w:rsid w:val="00AE3164"/>
    <w:rsid w:val="00AE69C7"/>
    <w:rsid w:val="00AF11ED"/>
    <w:rsid w:val="00AF218D"/>
    <w:rsid w:val="00AF36FE"/>
    <w:rsid w:val="00AF38C7"/>
    <w:rsid w:val="00AF3F59"/>
    <w:rsid w:val="00AF4DF3"/>
    <w:rsid w:val="00AF7F7E"/>
    <w:rsid w:val="00B03E8F"/>
    <w:rsid w:val="00B04775"/>
    <w:rsid w:val="00B05188"/>
    <w:rsid w:val="00B05DAB"/>
    <w:rsid w:val="00B067AB"/>
    <w:rsid w:val="00B06C78"/>
    <w:rsid w:val="00B06E15"/>
    <w:rsid w:val="00B07CAE"/>
    <w:rsid w:val="00B10A25"/>
    <w:rsid w:val="00B10C17"/>
    <w:rsid w:val="00B10FE5"/>
    <w:rsid w:val="00B11E30"/>
    <w:rsid w:val="00B13428"/>
    <w:rsid w:val="00B16925"/>
    <w:rsid w:val="00B16F18"/>
    <w:rsid w:val="00B1705E"/>
    <w:rsid w:val="00B20BCD"/>
    <w:rsid w:val="00B22F63"/>
    <w:rsid w:val="00B235CA"/>
    <w:rsid w:val="00B2588D"/>
    <w:rsid w:val="00B25E96"/>
    <w:rsid w:val="00B2642F"/>
    <w:rsid w:val="00B2720B"/>
    <w:rsid w:val="00B27646"/>
    <w:rsid w:val="00B3003D"/>
    <w:rsid w:val="00B30573"/>
    <w:rsid w:val="00B3068D"/>
    <w:rsid w:val="00B32114"/>
    <w:rsid w:val="00B3228D"/>
    <w:rsid w:val="00B3306E"/>
    <w:rsid w:val="00B33525"/>
    <w:rsid w:val="00B337FB"/>
    <w:rsid w:val="00B33E7B"/>
    <w:rsid w:val="00B34EF4"/>
    <w:rsid w:val="00B36071"/>
    <w:rsid w:val="00B403E8"/>
    <w:rsid w:val="00B4285D"/>
    <w:rsid w:val="00B4316B"/>
    <w:rsid w:val="00B44088"/>
    <w:rsid w:val="00B445A6"/>
    <w:rsid w:val="00B447B3"/>
    <w:rsid w:val="00B45293"/>
    <w:rsid w:val="00B461D8"/>
    <w:rsid w:val="00B4671E"/>
    <w:rsid w:val="00B4716E"/>
    <w:rsid w:val="00B506AC"/>
    <w:rsid w:val="00B5087D"/>
    <w:rsid w:val="00B518BF"/>
    <w:rsid w:val="00B52170"/>
    <w:rsid w:val="00B521E9"/>
    <w:rsid w:val="00B547AE"/>
    <w:rsid w:val="00B56AE5"/>
    <w:rsid w:val="00B57E29"/>
    <w:rsid w:val="00B639BE"/>
    <w:rsid w:val="00B63AFC"/>
    <w:rsid w:val="00B64423"/>
    <w:rsid w:val="00B64486"/>
    <w:rsid w:val="00B65809"/>
    <w:rsid w:val="00B717E7"/>
    <w:rsid w:val="00B729D5"/>
    <w:rsid w:val="00B7479B"/>
    <w:rsid w:val="00B74A72"/>
    <w:rsid w:val="00B76371"/>
    <w:rsid w:val="00B8098A"/>
    <w:rsid w:val="00B80CC0"/>
    <w:rsid w:val="00B82C4A"/>
    <w:rsid w:val="00B83E9D"/>
    <w:rsid w:val="00B8455A"/>
    <w:rsid w:val="00B85767"/>
    <w:rsid w:val="00B858E0"/>
    <w:rsid w:val="00B87B58"/>
    <w:rsid w:val="00B87C49"/>
    <w:rsid w:val="00B93346"/>
    <w:rsid w:val="00B941DB"/>
    <w:rsid w:val="00B95673"/>
    <w:rsid w:val="00B960DB"/>
    <w:rsid w:val="00B9723F"/>
    <w:rsid w:val="00B97579"/>
    <w:rsid w:val="00B97D6A"/>
    <w:rsid w:val="00BA0841"/>
    <w:rsid w:val="00BA172A"/>
    <w:rsid w:val="00BA49C9"/>
    <w:rsid w:val="00BA4F26"/>
    <w:rsid w:val="00BA56E2"/>
    <w:rsid w:val="00BA5EDD"/>
    <w:rsid w:val="00BB1FC3"/>
    <w:rsid w:val="00BB3F99"/>
    <w:rsid w:val="00BB5FA5"/>
    <w:rsid w:val="00BB71E4"/>
    <w:rsid w:val="00BB751C"/>
    <w:rsid w:val="00BC0374"/>
    <w:rsid w:val="00BC15D2"/>
    <w:rsid w:val="00BC3556"/>
    <w:rsid w:val="00BC3E1C"/>
    <w:rsid w:val="00BC61FC"/>
    <w:rsid w:val="00BC646D"/>
    <w:rsid w:val="00BD1211"/>
    <w:rsid w:val="00BD42F8"/>
    <w:rsid w:val="00BD4DA9"/>
    <w:rsid w:val="00BD5070"/>
    <w:rsid w:val="00BD51B7"/>
    <w:rsid w:val="00BD55D6"/>
    <w:rsid w:val="00BD64FB"/>
    <w:rsid w:val="00BD6A3F"/>
    <w:rsid w:val="00BD7B5A"/>
    <w:rsid w:val="00BD7BF3"/>
    <w:rsid w:val="00BE1009"/>
    <w:rsid w:val="00BE4AFD"/>
    <w:rsid w:val="00BF0D5A"/>
    <w:rsid w:val="00BF1E98"/>
    <w:rsid w:val="00BF48A4"/>
    <w:rsid w:val="00BF58BD"/>
    <w:rsid w:val="00BF590E"/>
    <w:rsid w:val="00BF5C5A"/>
    <w:rsid w:val="00BF73F4"/>
    <w:rsid w:val="00C00D92"/>
    <w:rsid w:val="00C019C0"/>
    <w:rsid w:val="00C01A39"/>
    <w:rsid w:val="00C01CB1"/>
    <w:rsid w:val="00C01FF9"/>
    <w:rsid w:val="00C04531"/>
    <w:rsid w:val="00C05636"/>
    <w:rsid w:val="00C05857"/>
    <w:rsid w:val="00C0609E"/>
    <w:rsid w:val="00C10771"/>
    <w:rsid w:val="00C1402D"/>
    <w:rsid w:val="00C154B0"/>
    <w:rsid w:val="00C15C17"/>
    <w:rsid w:val="00C168B8"/>
    <w:rsid w:val="00C16997"/>
    <w:rsid w:val="00C17244"/>
    <w:rsid w:val="00C212A4"/>
    <w:rsid w:val="00C224C2"/>
    <w:rsid w:val="00C23A88"/>
    <w:rsid w:val="00C253FE"/>
    <w:rsid w:val="00C25EA6"/>
    <w:rsid w:val="00C26803"/>
    <w:rsid w:val="00C311F5"/>
    <w:rsid w:val="00C31BC2"/>
    <w:rsid w:val="00C31CD3"/>
    <w:rsid w:val="00C320FB"/>
    <w:rsid w:val="00C322BF"/>
    <w:rsid w:val="00C33B31"/>
    <w:rsid w:val="00C35854"/>
    <w:rsid w:val="00C35F67"/>
    <w:rsid w:val="00C407F3"/>
    <w:rsid w:val="00C416EF"/>
    <w:rsid w:val="00C4207F"/>
    <w:rsid w:val="00C46358"/>
    <w:rsid w:val="00C4653C"/>
    <w:rsid w:val="00C50104"/>
    <w:rsid w:val="00C50233"/>
    <w:rsid w:val="00C50E1A"/>
    <w:rsid w:val="00C53046"/>
    <w:rsid w:val="00C53807"/>
    <w:rsid w:val="00C53C29"/>
    <w:rsid w:val="00C552C2"/>
    <w:rsid w:val="00C60A8B"/>
    <w:rsid w:val="00C617BE"/>
    <w:rsid w:val="00C62B5E"/>
    <w:rsid w:val="00C62C4C"/>
    <w:rsid w:val="00C64001"/>
    <w:rsid w:val="00C64546"/>
    <w:rsid w:val="00C65737"/>
    <w:rsid w:val="00C659ED"/>
    <w:rsid w:val="00C65E53"/>
    <w:rsid w:val="00C66678"/>
    <w:rsid w:val="00C66EF2"/>
    <w:rsid w:val="00C6774E"/>
    <w:rsid w:val="00C70439"/>
    <w:rsid w:val="00C71B8F"/>
    <w:rsid w:val="00C720E9"/>
    <w:rsid w:val="00C7355E"/>
    <w:rsid w:val="00C73708"/>
    <w:rsid w:val="00C7383D"/>
    <w:rsid w:val="00C73A76"/>
    <w:rsid w:val="00C74048"/>
    <w:rsid w:val="00C745AE"/>
    <w:rsid w:val="00C74E3F"/>
    <w:rsid w:val="00C77572"/>
    <w:rsid w:val="00C77948"/>
    <w:rsid w:val="00C83793"/>
    <w:rsid w:val="00C84C93"/>
    <w:rsid w:val="00C8570C"/>
    <w:rsid w:val="00C867C8"/>
    <w:rsid w:val="00C900FE"/>
    <w:rsid w:val="00C92683"/>
    <w:rsid w:val="00C92B88"/>
    <w:rsid w:val="00C93158"/>
    <w:rsid w:val="00C93EFF"/>
    <w:rsid w:val="00C94438"/>
    <w:rsid w:val="00C94867"/>
    <w:rsid w:val="00C94C33"/>
    <w:rsid w:val="00C94DCE"/>
    <w:rsid w:val="00C94E04"/>
    <w:rsid w:val="00C9579A"/>
    <w:rsid w:val="00C96511"/>
    <w:rsid w:val="00C9744E"/>
    <w:rsid w:val="00C975C9"/>
    <w:rsid w:val="00C9766A"/>
    <w:rsid w:val="00C97815"/>
    <w:rsid w:val="00CA0CF8"/>
    <w:rsid w:val="00CA1CBA"/>
    <w:rsid w:val="00CA3354"/>
    <w:rsid w:val="00CA3DD4"/>
    <w:rsid w:val="00CA69A8"/>
    <w:rsid w:val="00CA6B72"/>
    <w:rsid w:val="00CA7415"/>
    <w:rsid w:val="00CA74FD"/>
    <w:rsid w:val="00CA7866"/>
    <w:rsid w:val="00CB0619"/>
    <w:rsid w:val="00CB0FD3"/>
    <w:rsid w:val="00CB1B94"/>
    <w:rsid w:val="00CB1D5F"/>
    <w:rsid w:val="00CB1D9D"/>
    <w:rsid w:val="00CB2CC6"/>
    <w:rsid w:val="00CB3A76"/>
    <w:rsid w:val="00CB5392"/>
    <w:rsid w:val="00CB5C47"/>
    <w:rsid w:val="00CB608D"/>
    <w:rsid w:val="00CB6D21"/>
    <w:rsid w:val="00CB6D60"/>
    <w:rsid w:val="00CB6EC2"/>
    <w:rsid w:val="00CB79A1"/>
    <w:rsid w:val="00CC0530"/>
    <w:rsid w:val="00CC05B2"/>
    <w:rsid w:val="00CC060E"/>
    <w:rsid w:val="00CC2DDE"/>
    <w:rsid w:val="00CC3338"/>
    <w:rsid w:val="00CC3C89"/>
    <w:rsid w:val="00CC7510"/>
    <w:rsid w:val="00CC7D61"/>
    <w:rsid w:val="00CD149B"/>
    <w:rsid w:val="00CD214E"/>
    <w:rsid w:val="00CD5288"/>
    <w:rsid w:val="00CD61A3"/>
    <w:rsid w:val="00CD67B5"/>
    <w:rsid w:val="00CD7450"/>
    <w:rsid w:val="00CE0212"/>
    <w:rsid w:val="00CE1014"/>
    <w:rsid w:val="00CE165F"/>
    <w:rsid w:val="00CE21CF"/>
    <w:rsid w:val="00CE2F5F"/>
    <w:rsid w:val="00CE5236"/>
    <w:rsid w:val="00CE5BFC"/>
    <w:rsid w:val="00CE5DCA"/>
    <w:rsid w:val="00CE6DF9"/>
    <w:rsid w:val="00CF04CA"/>
    <w:rsid w:val="00CF1CB7"/>
    <w:rsid w:val="00CF2169"/>
    <w:rsid w:val="00CF3F39"/>
    <w:rsid w:val="00CF5488"/>
    <w:rsid w:val="00CF6D15"/>
    <w:rsid w:val="00CF7040"/>
    <w:rsid w:val="00D0203A"/>
    <w:rsid w:val="00D021DB"/>
    <w:rsid w:val="00D03D9E"/>
    <w:rsid w:val="00D03EA1"/>
    <w:rsid w:val="00D04098"/>
    <w:rsid w:val="00D04BC7"/>
    <w:rsid w:val="00D071A8"/>
    <w:rsid w:val="00D10717"/>
    <w:rsid w:val="00D108D2"/>
    <w:rsid w:val="00D10FC9"/>
    <w:rsid w:val="00D13645"/>
    <w:rsid w:val="00D14C65"/>
    <w:rsid w:val="00D15085"/>
    <w:rsid w:val="00D15281"/>
    <w:rsid w:val="00D157A4"/>
    <w:rsid w:val="00D168FB"/>
    <w:rsid w:val="00D16D29"/>
    <w:rsid w:val="00D1792F"/>
    <w:rsid w:val="00D17D09"/>
    <w:rsid w:val="00D20916"/>
    <w:rsid w:val="00D20E42"/>
    <w:rsid w:val="00D2261D"/>
    <w:rsid w:val="00D236FC"/>
    <w:rsid w:val="00D242FD"/>
    <w:rsid w:val="00D24ACA"/>
    <w:rsid w:val="00D260F0"/>
    <w:rsid w:val="00D27F2C"/>
    <w:rsid w:val="00D30A6F"/>
    <w:rsid w:val="00D31368"/>
    <w:rsid w:val="00D32547"/>
    <w:rsid w:val="00D33278"/>
    <w:rsid w:val="00D347D2"/>
    <w:rsid w:val="00D358D2"/>
    <w:rsid w:val="00D36FE1"/>
    <w:rsid w:val="00D40CC6"/>
    <w:rsid w:val="00D42B95"/>
    <w:rsid w:val="00D43613"/>
    <w:rsid w:val="00D45BA3"/>
    <w:rsid w:val="00D462C7"/>
    <w:rsid w:val="00D47140"/>
    <w:rsid w:val="00D4786E"/>
    <w:rsid w:val="00D47FD0"/>
    <w:rsid w:val="00D517DA"/>
    <w:rsid w:val="00D520B2"/>
    <w:rsid w:val="00D53F73"/>
    <w:rsid w:val="00D546E7"/>
    <w:rsid w:val="00D5614B"/>
    <w:rsid w:val="00D568EE"/>
    <w:rsid w:val="00D56D0F"/>
    <w:rsid w:val="00D57204"/>
    <w:rsid w:val="00D57A51"/>
    <w:rsid w:val="00D61603"/>
    <w:rsid w:val="00D6204C"/>
    <w:rsid w:val="00D62AF6"/>
    <w:rsid w:val="00D6328E"/>
    <w:rsid w:val="00D65B0A"/>
    <w:rsid w:val="00D676D5"/>
    <w:rsid w:val="00D67A35"/>
    <w:rsid w:val="00D7105D"/>
    <w:rsid w:val="00D72373"/>
    <w:rsid w:val="00D72C77"/>
    <w:rsid w:val="00D73A84"/>
    <w:rsid w:val="00D73B30"/>
    <w:rsid w:val="00D7485D"/>
    <w:rsid w:val="00D7566D"/>
    <w:rsid w:val="00D768EB"/>
    <w:rsid w:val="00D7765B"/>
    <w:rsid w:val="00D77C73"/>
    <w:rsid w:val="00D8042C"/>
    <w:rsid w:val="00D80DD5"/>
    <w:rsid w:val="00D81A21"/>
    <w:rsid w:val="00D823C6"/>
    <w:rsid w:val="00D85ED3"/>
    <w:rsid w:val="00D87B97"/>
    <w:rsid w:val="00D90D8D"/>
    <w:rsid w:val="00D91982"/>
    <w:rsid w:val="00D9338E"/>
    <w:rsid w:val="00D95BCC"/>
    <w:rsid w:val="00D967BD"/>
    <w:rsid w:val="00D97A26"/>
    <w:rsid w:val="00D97E49"/>
    <w:rsid w:val="00DA1EE9"/>
    <w:rsid w:val="00DA268C"/>
    <w:rsid w:val="00DA293A"/>
    <w:rsid w:val="00DA2C5D"/>
    <w:rsid w:val="00DA347B"/>
    <w:rsid w:val="00DA4328"/>
    <w:rsid w:val="00DA4796"/>
    <w:rsid w:val="00DA61AD"/>
    <w:rsid w:val="00DB3C8F"/>
    <w:rsid w:val="00DB46CC"/>
    <w:rsid w:val="00DB4B28"/>
    <w:rsid w:val="00DB4EAB"/>
    <w:rsid w:val="00DB5DA9"/>
    <w:rsid w:val="00DB7417"/>
    <w:rsid w:val="00DC0C11"/>
    <w:rsid w:val="00DC328A"/>
    <w:rsid w:val="00DC4924"/>
    <w:rsid w:val="00DC556E"/>
    <w:rsid w:val="00DC6426"/>
    <w:rsid w:val="00DC674C"/>
    <w:rsid w:val="00DC7164"/>
    <w:rsid w:val="00DD0F97"/>
    <w:rsid w:val="00DD2360"/>
    <w:rsid w:val="00DD2480"/>
    <w:rsid w:val="00DD24D1"/>
    <w:rsid w:val="00DD45CD"/>
    <w:rsid w:val="00DD4A8E"/>
    <w:rsid w:val="00DD5178"/>
    <w:rsid w:val="00DE07EE"/>
    <w:rsid w:val="00DE0976"/>
    <w:rsid w:val="00DE3055"/>
    <w:rsid w:val="00DE3268"/>
    <w:rsid w:val="00DE5733"/>
    <w:rsid w:val="00DE70AE"/>
    <w:rsid w:val="00DF00E0"/>
    <w:rsid w:val="00DF0C5E"/>
    <w:rsid w:val="00DF153D"/>
    <w:rsid w:val="00DF1C2C"/>
    <w:rsid w:val="00DF2C13"/>
    <w:rsid w:val="00DF2CEF"/>
    <w:rsid w:val="00DF32E5"/>
    <w:rsid w:val="00DF4577"/>
    <w:rsid w:val="00DF7A07"/>
    <w:rsid w:val="00E00755"/>
    <w:rsid w:val="00E00EC4"/>
    <w:rsid w:val="00E03E1A"/>
    <w:rsid w:val="00E040E8"/>
    <w:rsid w:val="00E0427D"/>
    <w:rsid w:val="00E04FC0"/>
    <w:rsid w:val="00E05BD0"/>
    <w:rsid w:val="00E07861"/>
    <w:rsid w:val="00E10053"/>
    <w:rsid w:val="00E10472"/>
    <w:rsid w:val="00E11110"/>
    <w:rsid w:val="00E14498"/>
    <w:rsid w:val="00E15014"/>
    <w:rsid w:val="00E1785E"/>
    <w:rsid w:val="00E21D31"/>
    <w:rsid w:val="00E22F3F"/>
    <w:rsid w:val="00E23BAB"/>
    <w:rsid w:val="00E23E0B"/>
    <w:rsid w:val="00E23F00"/>
    <w:rsid w:val="00E27281"/>
    <w:rsid w:val="00E27B5F"/>
    <w:rsid w:val="00E27F6D"/>
    <w:rsid w:val="00E30032"/>
    <w:rsid w:val="00E3112C"/>
    <w:rsid w:val="00E3213E"/>
    <w:rsid w:val="00E3317B"/>
    <w:rsid w:val="00E3386F"/>
    <w:rsid w:val="00E3424D"/>
    <w:rsid w:val="00E40B49"/>
    <w:rsid w:val="00E44BCD"/>
    <w:rsid w:val="00E454BA"/>
    <w:rsid w:val="00E463A1"/>
    <w:rsid w:val="00E5038F"/>
    <w:rsid w:val="00E50F70"/>
    <w:rsid w:val="00E52382"/>
    <w:rsid w:val="00E52BFC"/>
    <w:rsid w:val="00E52EE1"/>
    <w:rsid w:val="00E552A3"/>
    <w:rsid w:val="00E610F1"/>
    <w:rsid w:val="00E62677"/>
    <w:rsid w:val="00E63F7F"/>
    <w:rsid w:val="00E63FE0"/>
    <w:rsid w:val="00E708D5"/>
    <w:rsid w:val="00E729C3"/>
    <w:rsid w:val="00E732C9"/>
    <w:rsid w:val="00E74C2F"/>
    <w:rsid w:val="00E76C3A"/>
    <w:rsid w:val="00E77101"/>
    <w:rsid w:val="00E77BCA"/>
    <w:rsid w:val="00E77EE7"/>
    <w:rsid w:val="00E81FB1"/>
    <w:rsid w:val="00E820A2"/>
    <w:rsid w:val="00E8230A"/>
    <w:rsid w:val="00E82950"/>
    <w:rsid w:val="00E82C0C"/>
    <w:rsid w:val="00E836B3"/>
    <w:rsid w:val="00E858A7"/>
    <w:rsid w:val="00E868F3"/>
    <w:rsid w:val="00E8716B"/>
    <w:rsid w:val="00E8787F"/>
    <w:rsid w:val="00E900AF"/>
    <w:rsid w:val="00E90D21"/>
    <w:rsid w:val="00E9176D"/>
    <w:rsid w:val="00E91C6C"/>
    <w:rsid w:val="00E92D8C"/>
    <w:rsid w:val="00E95359"/>
    <w:rsid w:val="00E966FD"/>
    <w:rsid w:val="00E96BF7"/>
    <w:rsid w:val="00EA05BA"/>
    <w:rsid w:val="00EA0A1C"/>
    <w:rsid w:val="00EA2DCF"/>
    <w:rsid w:val="00EA3EEC"/>
    <w:rsid w:val="00EA57B1"/>
    <w:rsid w:val="00EA5E6A"/>
    <w:rsid w:val="00EA6FE9"/>
    <w:rsid w:val="00EB0399"/>
    <w:rsid w:val="00EB1AD7"/>
    <w:rsid w:val="00EB2C64"/>
    <w:rsid w:val="00EB2EED"/>
    <w:rsid w:val="00EB2F2C"/>
    <w:rsid w:val="00EB36AD"/>
    <w:rsid w:val="00EB3C69"/>
    <w:rsid w:val="00EB3D5F"/>
    <w:rsid w:val="00EB3E5F"/>
    <w:rsid w:val="00EB531D"/>
    <w:rsid w:val="00EB5451"/>
    <w:rsid w:val="00EB5CBD"/>
    <w:rsid w:val="00EB62D7"/>
    <w:rsid w:val="00EB6C50"/>
    <w:rsid w:val="00EB6F2B"/>
    <w:rsid w:val="00EC126D"/>
    <w:rsid w:val="00EC4A5C"/>
    <w:rsid w:val="00EC5F71"/>
    <w:rsid w:val="00EC720E"/>
    <w:rsid w:val="00ED1237"/>
    <w:rsid w:val="00ED1277"/>
    <w:rsid w:val="00ED2F8C"/>
    <w:rsid w:val="00ED452D"/>
    <w:rsid w:val="00ED4B86"/>
    <w:rsid w:val="00ED525B"/>
    <w:rsid w:val="00EE0272"/>
    <w:rsid w:val="00EE3BCE"/>
    <w:rsid w:val="00EE53AB"/>
    <w:rsid w:val="00EE6358"/>
    <w:rsid w:val="00EE6EA2"/>
    <w:rsid w:val="00EE7B05"/>
    <w:rsid w:val="00EE7D8D"/>
    <w:rsid w:val="00EF0D43"/>
    <w:rsid w:val="00EF1FB7"/>
    <w:rsid w:val="00F00B3C"/>
    <w:rsid w:val="00F01005"/>
    <w:rsid w:val="00F0109D"/>
    <w:rsid w:val="00F01F41"/>
    <w:rsid w:val="00F039E2"/>
    <w:rsid w:val="00F052DC"/>
    <w:rsid w:val="00F05700"/>
    <w:rsid w:val="00F10CEF"/>
    <w:rsid w:val="00F110B1"/>
    <w:rsid w:val="00F120F4"/>
    <w:rsid w:val="00F123D1"/>
    <w:rsid w:val="00F1406D"/>
    <w:rsid w:val="00F14133"/>
    <w:rsid w:val="00F201D6"/>
    <w:rsid w:val="00F20CC6"/>
    <w:rsid w:val="00F20F0C"/>
    <w:rsid w:val="00F21173"/>
    <w:rsid w:val="00F21E02"/>
    <w:rsid w:val="00F21EDB"/>
    <w:rsid w:val="00F21FAB"/>
    <w:rsid w:val="00F23321"/>
    <w:rsid w:val="00F24239"/>
    <w:rsid w:val="00F24AFC"/>
    <w:rsid w:val="00F24D61"/>
    <w:rsid w:val="00F32F3A"/>
    <w:rsid w:val="00F331B0"/>
    <w:rsid w:val="00F345FE"/>
    <w:rsid w:val="00F34E21"/>
    <w:rsid w:val="00F35ABF"/>
    <w:rsid w:val="00F37DC9"/>
    <w:rsid w:val="00F40053"/>
    <w:rsid w:val="00F438E3"/>
    <w:rsid w:val="00F43D1E"/>
    <w:rsid w:val="00F464BF"/>
    <w:rsid w:val="00F46BA9"/>
    <w:rsid w:val="00F52243"/>
    <w:rsid w:val="00F5228D"/>
    <w:rsid w:val="00F528A9"/>
    <w:rsid w:val="00F52FD1"/>
    <w:rsid w:val="00F531A0"/>
    <w:rsid w:val="00F54329"/>
    <w:rsid w:val="00F545AC"/>
    <w:rsid w:val="00F54FF2"/>
    <w:rsid w:val="00F55212"/>
    <w:rsid w:val="00F55301"/>
    <w:rsid w:val="00F554B9"/>
    <w:rsid w:val="00F56999"/>
    <w:rsid w:val="00F573F1"/>
    <w:rsid w:val="00F57DE2"/>
    <w:rsid w:val="00F602AA"/>
    <w:rsid w:val="00F60422"/>
    <w:rsid w:val="00F60644"/>
    <w:rsid w:val="00F60F91"/>
    <w:rsid w:val="00F615BD"/>
    <w:rsid w:val="00F65020"/>
    <w:rsid w:val="00F664D1"/>
    <w:rsid w:val="00F6767A"/>
    <w:rsid w:val="00F67E6A"/>
    <w:rsid w:val="00F71485"/>
    <w:rsid w:val="00F714C4"/>
    <w:rsid w:val="00F71F1F"/>
    <w:rsid w:val="00F72FB2"/>
    <w:rsid w:val="00F73328"/>
    <w:rsid w:val="00F73F74"/>
    <w:rsid w:val="00F7521F"/>
    <w:rsid w:val="00F75A88"/>
    <w:rsid w:val="00F76D30"/>
    <w:rsid w:val="00F7728A"/>
    <w:rsid w:val="00F80A00"/>
    <w:rsid w:val="00F811EE"/>
    <w:rsid w:val="00F829DC"/>
    <w:rsid w:val="00F848CC"/>
    <w:rsid w:val="00F854D8"/>
    <w:rsid w:val="00F860E1"/>
    <w:rsid w:val="00F860F7"/>
    <w:rsid w:val="00F8682A"/>
    <w:rsid w:val="00F8777E"/>
    <w:rsid w:val="00F91687"/>
    <w:rsid w:val="00F9181B"/>
    <w:rsid w:val="00F93181"/>
    <w:rsid w:val="00F934FC"/>
    <w:rsid w:val="00F9553E"/>
    <w:rsid w:val="00F97C75"/>
    <w:rsid w:val="00FA03BC"/>
    <w:rsid w:val="00FA2AD8"/>
    <w:rsid w:val="00FA2D2A"/>
    <w:rsid w:val="00FA2E41"/>
    <w:rsid w:val="00FA325B"/>
    <w:rsid w:val="00FA3413"/>
    <w:rsid w:val="00FA5F5A"/>
    <w:rsid w:val="00FA68D2"/>
    <w:rsid w:val="00FA7186"/>
    <w:rsid w:val="00FA7D6B"/>
    <w:rsid w:val="00FB115F"/>
    <w:rsid w:val="00FB19F5"/>
    <w:rsid w:val="00FB355A"/>
    <w:rsid w:val="00FB4A1C"/>
    <w:rsid w:val="00FB504D"/>
    <w:rsid w:val="00FB51DC"/>
    <w:rsid w:val="00FB5BF0"/>
    <w:rsid w:val="00FB5CD9"/>
    <w:rsid w:val="00FB66CC"/>
    <w:rsid w:val="00FB6924"/>
    <w:rsid w:val="00FB795F"/>
    <w:rsid w:val="00FC11E3"/>
    <w:rsid w:val="00FC1601"/>
    <w:rsid w:val="00FC1884"/>
    <w:rsid w:val="00FC2DE4"/>
    <w:rsid w:val="00FC3DEC"/>
    <w:rsid w:val="00FC6275"/>
    <w:rsid w:val="00FC7377"/>
    <w:rsid w:val="00FD05FD"/>
    <w:rsid w:val="00FD0E2D"/>
    <w:rsid w:val="00FD0F4E"/>
    <w:rsid w:val="00FD12DB"/>
    <w:rsid w:val="00FD1A61"/>
    <w:rsid w:val="00FD3C84"/>
    <w:rsid w:val="00FD4088"/>
    <w:rsid w:val="00FD41A6"/>
    <w:rsid w:val="00FD57E2"/>
    <w:rsid w:val="00FD58B6"/>
    <w:rsid w:val="00FD5D61"/>
    <w:rsid w:val="00FD64E5"/>
    <w:rsid w:val="00FE03F5"/>
    <w:rsid w:val="00FE0DC2"/>
    <w:rsid w:val="00FE2E40"/>
    <w:rsid w:val="00FE493E"/>
    <w:rsid w:val="00FE5DF6"/>
    <w:rsid w:val="00FF07EE"/>
    <w:rsid w:val="00FF1673"/>
    <w:rsid w:val="00FF1D71"/>
    <w:rsid w:val="00FF2AE4"/>
    <w:rsid w:val="00FF3C7C"/>
    <w:rsid w:val="00FF5794"/>
    <w:rsid w:val="00FF69E1"/>
    <w:rsid w:val="00FF6B3D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3594D"/>
  <w15:docId w15:val="{AE278A13-9C2A-4D53-8A14-E27E9B8F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5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3F1"/>
  </w:style>
  <w:style w:type="paragraph" w:styleId="Zpat">
    <w:name w:val="footer"/>
    <w:basedOn w:val="Normln"/>
    <w:link w:val="Zpat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3F1"/>
  </w:style>
  <w:style w:type="paragraph" w:customStyle="1" w:styleId="Standard">
    <w:name w:val="Standard"/>
    <w:rsid w:val="00F573F1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 Unicode MS"/>
      <w:kern w:val="3"/>
      <w:sz w:val="18"/>
      <w:szCs w:val="20"/>
      <w:lang w:eastAsia="zh-CN" w:bidi="hi-IN"/>
    </w:rPr>
  </w:style>
  <w:style w:type="character" w:styleId="Hypertextovodkaz">
    <w:name w:val="Hyperlink"/>
    <w:basedOn w:val="Standardnpsmoodstavce"/>
    <w:uiPriority w:val="99"/>
    <w:rsid w:val="005A250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A250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71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9AF"/>
    <w:rPr>
      <w:rFonts w:cs="Arial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9AF"/>
    <w:rPr>
      <w:rFonts w:ascii="Arial" w:eastAsia="Times New Roman" w:hAnsi="Arial" w:cs="Arial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445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4450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450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5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50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E1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47C2E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645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645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A6453"/>
    <w:rPr>
      <w:vertAlign w:val="superscript"/>
    </w:rPr>
  </w:style>
  <w:style w:type="character" w:customStyle="1" w:styleId="cf01">
    <w:name w:val="cf01"/>
    <w:basedOn w:val="Standardnpsmoodstavce"/>
    <w:rsid w:val="00983579"/>
    <w:rPr>
      <w:rFonts w:ascii="Segoe UI" w:hAnsi="Segoe UI" w:cs="Segoe UI" w:hint="default"/>
      <w:sz w:val="18"/>
      <w:szCs w:val="18"/>
    </w:rPr>
  </w:style>
  <w:style w:type="paragraph" w:customStyle="1" w:styleId="CBANadpisvTABULCE">
    <w:name w:val="CBA Nadpis v TABULCE"/>
    <w:basedOn w:val="Normln"/>
    <w:qFormat/>
    <w:rsid w:val="0073410F"/>
    <w:pPr>
      <w:spacing w:before="120" w:after="120"/>
      <w:jc w:val="left"/>
    </w:pPr>
    <w:rPr>
      <w:b/>
      <w:bCs/>
      <w:color w:val="13576B"/>
    </w:rPr>
  </w:style>
  <w:style w:type="paragraph" w:customStyle="1" w:styleId="CBAodstavecvTABULCE">
    <w:name w:val="CBA odstavec v TABULCE"/>
    <w:basedOn w:val="Normln"/>
    <w:qFormat/>
    <w:rsid w:val="0073410F"/>
    <w:pPr>
      <w:spacing w:before="120" w:after="120"/>
      <w:jc w:val="left"/>
    </w:pPr>
    <w:rPr>
      <w:color w:val="13576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8650-8B43-417C-931A-06049C16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2047</Words>
  <Characters>12083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vlachova</dc:creator>
  <cp:lastModifiedBy>Duffek, Adam (ČBA)</cp:lastModifiedBy>
  <cp:revision>13</cp:revision>
  <cp:lastPrinted>2024-08-06T13:08:00Z</cp:lastPrinted>
  <dcterms:created xsi:type="dcterms:W3CDTF">2024-08-07T08:34:00Z</dcterms:created>
  <dcterms:modified xsi:type="dcterms:W3CDTF">2024-08-08T07:45:00Z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Enabled">
    <vt:lpwstr>True</vt:lpwstr>
  </property>
  <property fmtid="{D5CDD505-2E9C-101B-9397-08002B2CF9AE}" pid="3" name="MSIP_Label_390254f4-34d0-49c5-b888-af4abf762ef7_SiteId">
    <vt:lpwstr>2cc49ce9-66a1-41ac-a96b-bdc54247696a</vt:lpwstr>
  </property>
  <property fmtid="{D5CDD505-2E9C-101B-9397-08002B2CF9AE}" pid="4" name="MSIP_Label_390254f4-34d0-49c5-b888-af4abf762ef7_Owner">
    <vt:lpwstr>Pavel.Sobisek@unicreditgroup.cz</vt:lpwstr>
  </property>
  <property fmtid="{D5CDD505-2E9C-101B-9397-08002B2CF9AE}" pid="5" name="MSIP_Label_390254f4-34d0-49c5-b888-af4abf762ef7_SetDate">
    <vt:lpwstr>2020-01-15T16:11:29.8787231Z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Application">
    <vt:lpwstr>Microsoft Azure Information Protection</vt:lpwstr>
  </property>
  <property fmtid="{D5CDD505-2E9C-101B-9397-08002B2CF9AE}" pid="8" name="MSIP_Label_390254f4-34d0-49c5-b888-af4abf762ef7_ActionId">
    <vt:lpwstr>43f3763f-d3c6-435c-ae50-a4a40081b5fb</vt:lpwstr>
  </property>
  <property fmtid="{D5CDD505-2E9C-101B-9397-08002B2CF9AE}" pid="9" name="MSIP_Label_390254f4-34d0-49c5-b888-af4abf762ef7_Extended_MSFT_Method">
    <vt:lpwstr>Automatic</vt:lpwstr>
  </property>
  <property fmtid="{D5CDD505-2E9C-101B-9397-08002B2CF9AE}" pid="10" name="MSIP_Label_faa92781-1fcb-4da3-a1a2-e534c28a25f3_Enabled">
    <vt:lpwstr>True</vt:lpwstr>
  </property>
  <property fmtid="{D5CDD505-2E9C-101B-9397-08002B2CF9AE}" pid="11" name="MSIP_Label_faa92781-1fcb-4da3-a1a2-e534c28a25f3_SiteId">
    <vt:lpwstr>2cc49ce9-66a1-41ac-a96b-bdc54247696a</vt:lpwstr>
  </property>
  <property fmtid="{D5CDD505-2E9C-101B-9397-08002B2CF9AE}" pid="12" name="MSIP_Label_faa92781-1fcb-4da3-a1a2-e534c28a25f3_Owner">
    <vt:lpwstr>Pavel.Sobisek@unicreditgroup.cz</vt:lpwstr>
  </property>
  <property fmtid="{D5CDD505-2E9C-101B-9397-08002B2CF9AE}" pid="13" name="MSIP_Label_faa92781-1fcb-4da3-a1a2-e534c28a25f3_SetDate">
    <vt:lpwstr>2020-01-15T16:11:29.8787231Z</vt:lpwstr>
  </property>
  <property fmtid="{D5CDD505-2E9C-101B-9397-08002B2CF9AE}" pid="14" name="MSIP_Label_faa92781-1fcb-4da3-a1a2-e534c28a25f3_Name">
    <vt:lpwstr>in UniCredit Group - no visual markings</vt:lpwstr>
  </property>
  <property fmtid="{D5CDD505-2E9C-101B-9397-08002B2CF9AE}" pid="15" name="MSIP_Label_faa92781-1fcb-4da3-a1a2-e534c28a25f3_Application">
    <vt:lpwstr>Microsoft Azure Information Protection</vt:lpwstr>
  </property>
  <property fmtid="{D5CDD505-2E9C-101B-9397-08002B2CF9AE}" pid="16" name="MSIP_Label_faa92781-1fcb-4da3-a1a2-e534c28a25f3_ActionId">
    <vt:lpwstr>43f3763f-d3c6-435c-ae50-a4a40081b5fb</vt:lpwstr>
  </property>
  <property fmtid="{D5CDD505-2E9C-101B-9397-08002B2CF9AE}" pid="17" name="MSIP_Label_faa92781-1fcb-4da3-a1a2-e534c28a25f3_Parent">
    <vt:lpwstr>390254f4-34d0-49c5-b888-af4abf762ef7</vt:lpwstr>
  </property>
  <property fmtid="{D5CDD505-2E9C-101B-9397-08002B2CF9AE}" pid="18" name="MSIP_Label_faa92781-1fcb-4da3-a1a2-e534c28a25f3_Extended_MSFT_Method">
    <vt:lpwstr>Automatic</vt:lpwstr>
  </property>
  <property fmtid="{D5CDD505-2E9C-101B-9397-08002B2CF9AE}" pid="19" name="MSIP_Label_2b3a104e-2916-42dc-a2f6-6210338509ed_Enabled">
    <vt:lpwstr>True</vt:lpwstr>
  </property>
  <property fmtid="{D5CDD505-2E9C-101B-9397-08002B2CF9AE}" pid="20" name="MSIP_Label_2b3a104e-2916-42dc-a2f6-6210338509ed_SiteId">
    <vt:lpwstr>e70aafb3-2e89-46a5-ba50-66803e8a4411</vt:lpwstr>
  </property>
  <property fmtid="{D5CDD505-2E9C-101B-9397-08002B2CF9AE}" pid="21" name="MSIP_Label_2b3a104e-2916-42dc-a2f6-6210338509ed_Owner">
    <vt:lpwstr>cen87316@csin.cz</vt:lpwstr>
  </property>
  <property fmtid="{D5CDD505-2E9C-101B-9397-08002B2CF9AE}" pid="22" name="MSIP_Label_2b3a104e-2916-42dc-a2f6-6210338509ed_SetDate">
    <vt:lpwstr>2020-01-17T08:10:02.3455520Z</vt:lpwstr>
  </property>
  <property fmtid="{D5CDD505-2E9C-101B-9397-08002B2CF9AE}" pid="23" name="MSIP_Label_2b3a104e-2916-42dc-a2f6-6210338509ed_Name">
    <vt:lpwstr>CS Internal</vt:lpwstr>
  </property>
  <property fmtid="{D5CDD505-2E9C-101B-9397-08002B2CF9AE}" pid="24" name="MSIP_Label_2b3a104e-2916-42dc-a2f6-6210338509ed_Application">
    <vt:lpwstr>Microsoft Azure Information Protection</vt:lpwstr>
  </property>
  <property fmtid="{D5CDD505-2E9C-101B-9397-08002B2CF9AE}" pid="25" name="MSIP_Label_2b3a104e-2916-42dc-a2f6-6210338509ed_ActionId">
    <vt:lpwstr>60b9ebe4-46ae-459c-bf59-6a05f328379e</vt:lpwstr>
  </property>
  <property fmtid="{D5CDD505-2E9C-101B-9397-08002B2CF9AE}" pid="26" name="MSIP_Label_2b3a104e-2916-42dc-a2f6-6210338509ed_Extended_MSFT_Method">
    <vt:lpwstr>Automatic</vt:lpwstr>
  </property>
  <property fmtid="{D5CDD505-2E9C-101B-9397-08002B2CF9AE}" pid="27" name="MSIP_Label_2a6524ed-fb1a-49fd-bafe-15c5e5ffd047_Enabled">
    <vt:lpwstr>true</vt:lpwstr>
  </property>
  <property fmtid="{D5CDD505-2E9C-101B-9397-08002B2CF9AE}" pid="28" name="MSIP_Label_2a6524ed-fb1a-49fd-bafe-15c5e5ffd047_SetDate">
    <vt:lpwstr>2021-05-10T05:54:55Z</vt:lpwstr>
  </property>
  <property fmtid="{D5CDD505-2E9C-101B-9397-08002B2CF9AE}" pid="29" name="MSIP_Label_2a6524ed-fb1a-49fd-bafe-15c5e5ffd047_Method">
    <vt:lpwstr>Standard</vt:lpwstr>
  </property>
  <property fmtid="{D5CDD505-2E9C-101B-9397-08002B2CF9AE}" pid="30" name="MSIP_Label_2a6524ed-fb1a-49fd-bafe-15c5e5ffd047_Name">
    <vt:lpwstr>Internal</vt:lpwstr>
  </property>
  <property fmtid="{D5CDD505-2E9C-101B-9397-08002B2CF9AE}" pid="31" name="MSIP_Label_2a6524ed-fb1a-49fd-bafe-15c5e5ffd047_SiteId">
    <vt:lpwstr>9b511fda-f0b1-43a5-b06e-1e720f64520a</vt:lpwstr>
  </property>
  <property fmtid="{D5CDD505-2E9C-101B-9397-08002B2CF9AE}" pid="32" name="MSIP_Label_2a6524ed-fb1a-49fd-bafe-15c5e5ffd047_ActionId">
    <vt:lpwstr>6e16e441-bca8-45fa-8e42-4b14b422a2ce</vt:lpwstr>
  </property>
  <property fmtid="{D5CDD505-2E9C-101B-9397-08002B2CF9AE}" pid="33" name="MSIP_Label_2a6524ed-fb1a-49fd-bafe-15c5e5ffd047_ContentBits">
    <vt:lpwstr>0</vt:lpwstr>
  </property>
  <property fmtid="{D5CDD505-2E9C-101B-9397-08002B2CF9AE}" pid="34" name="MSIP_Label_63f4bb52-bd44-4e71-98c6-b1e43e6be5b6_Enabled">
    <vt:lpwstr>true</vt:lpwstr>
  </property>
  <property fmtid="{D5CDD505-2E9C-101B-9397-08002B2CF9AE}" pid="35" name="MSIP_Label_63f4bb52-bd44-4e71-98c6-b1e43e6be5b6_SetDate">
    <vt:lpwstr>2022-08-10T09:54:41Z</vt:lpwstr>
  </property>
  <property fmtid="{D5CDD505-2E9C-101B-9397-08002B2CF9AE}" pid="36" name="MSIP_Label_63f4bb52-bd44-4e71-98c6-b1e43e6be5b6_Method">
    <vt:lpwstr>Standard</vt:lpwstr>
  </property>
  <property fmtid="{D5CDD505-2E9C-101B-9397-08002B2CF9AE}" pid="37" name="MSIP_Label_63f4bb52-bd44-4e71-98c6-b1e43e6be5b6_Name">
    <vt:lpwstr>Chráněné</vt:lpwstr>
  </property>
  <property fmtid="{D5CDD505-2E9C-101B-9397-08002B2CF9AE}" pid="38" name="MSIP_Label_63f4bb52-bd44-4e71-98c6-b1e43e6be5b6_SiteId">
    <vt:lpwstr>9cca307d-eed7-47e0-a567-a3b37ba0308b</vt:lpwstr>
  </property>
  <property fmtid="{D5CDD505-2E9C-101B-9397-08002B2CF9AE}" pid="39" name="MSIP_Label_63f4bb52-bd44-4e71-98c6-b1e43e6be5b6_ActionId">
    <vt:lpwstr>ca7f3bf3-cf89-4cf9-9bd8-fcbcfa83b433</vt:lpwstr>
  </property>
  <property fmtid="{D5CDD505-2E9C-101B-9397-08002B2CF9AE}" pid="40" name="MSIP_Label_63f4bb52-bd44-4e71-98c6-b1e43e6be5b6_ContentBits">
    <vt:lpwstr>0</vt:lpwstr>
  </property>
  <property fmtid="{D5CDD505-2E9C-101B-9397-08002B2CF9AE}" pid="41" name="MSIP_Label_95047c84-0a67-483c-b79b-e48654b86430_Enabled">
    <vt:lpwstr>true</vt:lpwstr>
  </property>
  <property fmtid="{D5CDD505-2E9C-101B-9397-08002B2CF9AE}" pid="42" name="MSIP_Label_95047c84-0a67-483c-b79b-e48654b86430_SetDate">
    <vt:lpwstr>2022-11-09T11:52:35Z</vt:lpwstr>
  </property>
  <property fmtid="{D5CDD505-2E9C-101B-9397-08002B2CF9AE}" pid="43" name="MSIP_Label_95047c84-0a67-483c-b79b-e48654b86430_Method">
    <vt:lpwstr>Standard</vt:lpwstr>
  </property>
  <property fmtid="{D5CDD505-2E9C-101B-9397-08002B2CF9AE}" pid="44" name="MSIP_Label_95047c84-0a67-483c-b79b-e48654b86430_Name">
    <vt:lpwstr>defa4170-0d19-0005-0004-bc88714345d2</vt:lpwstr>
  </property>
  <property fmtid="{D5CDD505-2E9C-101B-9397-08002B2CF9AE}" pid="45" name="MSIP_Label_95047c84-0a67-483c-b79b-e48654b86430_SiteId">
    <vt:lpwstr>3f20558b-6d29-4505-a3e9-96d02ae92fa1</vt:lpwstr>
  </property>
  <property fmtid="{D5CDD505-2E9C-101B-9397-08002B2CF9AE}" pid="46" name="MSIP_Label_95047c84-0a67-483c-b79b-e48654b86430_ActionId">
    <vt:lpwstr>09b031df-8fbf-4de6-9fcd-b47722a3820f</vt:lpwstr>
  </property>
  <property fmtid="{D5CDD505-2E9C-101B-9397-08002B2CF9AE}" pid="47" name="MSIP_Label_95047c84-0a67-483c-b79b-e48654b86430_ContentBits">
    <vt:lpwstr>0</vt:lpwstr>
  </property>
  <property fmtid="{D5CDD505-2E9C-101B-9397-08002B2CF9AE}" pid="48" name="MSIP_Label_38939b85-7e40-4a1d-91e1-0e84c3b219d7_Enabled">
    <vt:lpwstr>true</vt:lpwstr>
  </property>
  <property fmtid="{D5CDD505-2E9C-101B-9397-08002B2CF9AE}" pid="49" name="MSIP_Label_38939b85-7e40-4a1d-91e1-0e84c3b219d7_SetDate">
    <vt:lpwstr>2023-08-08T13:09:17Z</vt:lpwstr>
  </property>
  <property fmtid="{D5CDD505-2E9C-101B-9397-08002B2CF9AE}" pid="50" name="MSIP_Label_38939b85-7e40-4a1d-91e1-0e84c3b219d7_Method">
    <vt:lpwstr>Standard</vt:lpwstr>
  </property>
  <property fmtid="{D5CDD505-2E9C-101B-9397-08002B2CF9AE}" pid="51" name="MSIP_Label_38939b85-7e40-4a1d-91e1-0e84c3b219d7_Name">
    <vt:lpwstr>38939b85-7e40-4a1d-91e1-0e84c3b219d7</vt:lpwstr>
  </property>
  <property fmtid="{D5CDD505-2E9C-101B-9397-08002B2CF9AE}" pid="52" name="MSIP_Label_38939b85-7e40-4a1d-91e1-0e84c3b219d7_SiteId">
    <vt:lpwstr>3ad0376a-54d3-49a6-9e20-52de0a92fc89</vt:lpwstr>
  </property>
  <property fmtid="{D5CDD505-2E9C-101B-9397-08002B2CF9AE}" pid="53" name="MSIP_Label_38939b85-7e40-4a1d-91e1-0e84c3b219d7_ActionId">
    <vt:lpwstr>a9bfb157-61e9-41a9-8f12-7ab49d163955</vt:lpwstr>
  </property>
  <property fmtid="{D5CDD505-2E9C-101B-9397-08002B2CF9AE}" pid="54" name="MSIP_Label_38939b85-7e40-4a1d-91e1-0e84c3b219d7_ContentBits">
    <vt:lpwstr>0</vt:lpwstr>
  </property>
  <property fmtid="{D5CDD505-2E9C-101B-9397-08002B2CF9AE}" pid="55" name="MSIP_Label_076d9757-80ae-4c87-b4d7-9ffa7a0710d0_Enabled">
    <vt:lpwstr>true</vt:lpwstr>
  </property>
  <property fmtid="{D5CDD505-2E9C-101B-9397-08002B2CF9AE}" pid="56" name="MSIP_Label_076d9757-80ae-4c87-b4d7-9ffa7a0710d0_SetDate">
    <vt:lpwstr>2023-11-08T08:22:38Z</vt:lpwstr>
  </property>
  <property fmtid="{D5CDD505-2E9C-101B-9397-08002B2CF9AE}" pid="57" name="MSIP_Label_076d9757-80ae-4c87-b4d7-9ffa7a0710d0_Method">
    <vt:lpwstr>Standard</vt:lpwstr>
  </property>
  <property fmtid="{D5CDD505-2E9C-101B-9397-08002B2CF9AE}" pid="58" name="MSIP_Label_076d9757-80ae-4c87-b4d7-9ffa7a0710d0_Name">
    <vt:lpwstr>C1 - Internal</vt:lpwstr>
  </property>
  <property fmtid="{D5CDD505-2E9C-101B-9397-08002B2CF9AE}" pid="59" name="MSIP_Label_076d9757-80ae-4c87-b4d7-9ffa7a0710d0_SiteId">
    <vt:lpwstr>c79e7c80-cff5-4503-b468-3702cea89272</vt:lpwstr>
  </property>
  <property fmtid="{D5CDD505-2E9C-101B-9397-08002B2CF9AE}" pid="60" name="MSIP_Label_076d9757-80ae-4c87-b4d7-9ffa7a0710d0_ActionId">
    <vt:lpwstr>e6da5af1-39f2-4f2b-b59b-984e27099740</vt:lpwstr>
  </property>
  <property fmtid="{D5CDD505-2E9C-101B-9397-08002B2CF9AE}" pid="61" name="MSIP_Label_076d9757-80ae-4c87-b4d7-9ffa7a0710d0_ContentBits">
    <vt:lpwstr>0</vt:lpwstr>
  </property>
  <property fmtid="{D5CDD505-2E9C-101B-9397-08002B2CF9AE}" pid="62" name="Kod_Duvernosti">
    <vt:lpwstr>KB_C1_INTERNAL_992521</vt:lpwstr>
  </property>
</Properties>
</file>