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263AD" w14:textId="6EF396B6" w:rsidR="00574588" w:rsidRPr="00616069"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Hypomonitor: </w:t>
      </w:r>
      <w:r w:rsidR="00FA5F7E">
        <w:rPr>
          <w:rFonts w:ascii="Calibri" w:hAnsi="Calibri" w:cs="Calibri"/>
          <w:b/>
          <w:color w:val="13576B"/>
          <w:sz w:val="32"/>
          <w:szCs w:val="32"/>
        </w:rPr>
        <w:t>Hypoteční aktivita v</w:t>
      </w:r>
      <w:r w:rsidR="000070E2">
        <w:rPr>
          <w:rFonts w:ascii="Calibri" w:hAnsi="Calibri" w:cs="Calibri"/>
          <w:b/>
          <w:color w:val="13576B"/>
          <w:sz w:val="32"/>
          <w:szCs w:val="32"/>
        </w:rPr>
        <w:t> </w:t>
      </w:r>
      <w:r w:rsidR="002F0F08">
        <w:rPr>
          <w:rFonts w:ascii="Calibri" w:hAnsi="Calibri" w:cs="Calibri"/>
          <w:b/>
          <w:color w:val="13576B"/>
          <w:sz w:val="32"/>
          <w:szCs w:val="32"/>
        </w:rPr>
        <w:t>září</w:t>
      </w:r>
      <w:r w:rsidR="000070E2">
        <w:rPr>
          <w:rFonts w:ascii="Calibri" w:hAnsi="Calibri" w:cs="Calibri"/>
          <w:b/>
          <w:color w:val="13576B"/>
          <w:sz w:val="32"/>
          <w:szCs w:val="32"/>
        </w:rPr>
        <w:t xml:space="preserve"> </w:t>
      </w:r>
      <w:r w:rsidR="00C66586">
        <w:rPr>
          <w:rFonts w:ascii="Calibri" w:hAnsi="Calibri" w:cs="Calibri"/>
          <w:b/>
          <w:color w:val="13576B"/>
          <w:sz w:val="32"/>
          <w:szCs w:val="32"/>
        </w:rPr>
        <w:t>zpomalila</w:t>
      </w:r>
      <w:r w:rsidR="002F0F08">
        <w:rPr>
          <w:rFonts w:ascii="Calibri" w:hAnsi="Calibri" w:cs="Calibri"/>
          <w:b/>
          <w:color w:val="13576B"/>
          <w:sz w:val="32"/>
          <w:szCs w:val="32"/>
        </w:rPr>
        <w:t xml:space="preserve">, </w:t>
      </w:r>
      <w:r w:rsidR="000070E2">
        <w:rPr>
          <w:rFonts w:ascii="Calibri" w:hAnsi="Calibri" w:cs="Calibri"/>
          <w:b/>
          <w:color w:val="13576B"/>
          <w:sz w:val="32"/>
          <w:szCs w:val="32"/>
        </w:rPr>
        <w:t xml:space="preserve">průměrná sazba </w:t>
      </w:r>
      <w:r w:rsidR="007E0A18">
        <w:rPr>
          <w:rFonts w:ascii="Calibri" w:hAnsi="Calibri" w:cs="Calibri"/>
          <w:b/>
          <w:color w:val="13576B"/>
          <w:sz w:val="32"/>
          <w:szCs w:val="32"/>
        </w:rPr>
        <w:t xml:space="preserve">klesla </w:t>
      </w:r>
      <w:r w:rsidR="00574588">
        <w:rPr>
          <w:rFonts w:ascii="Calibri" w:hAnsi="Calibri" w:cs="Calibri"/>
          <w:b/>
          <w:color w:val="13576B"/>
          <w:sz w:val="32"/>
          <w:szCs w:val="32"/>
        </w:rPr>
        <w:t>na 4,96 %</w:t>
      </w:r>
      <w:r w:rsidR="007E0A18">
        <w:rPr>
          <w:rFonts w:ascii="Calibri" w:hAnsi="Calibri" w:cs="Calibri"/>
          <w:b/>
          <w:color w:val="13576B"/>
          <w:sz w:val="32"/>
          <w:szCs w:val="32"/>
        </w:rPr>
        <w:t>.</w:t>
      </w:r>
    </w:p>
    <w:bookmarkEnd w:id="0"/>
    <w:p w14:paraId="5E7258BB" w14:textId="77777777" w:rsidR="0001227F" w:rsidRPr="00616069" w:rsidRDefault="0001227F" w:rsidP="0001227F">
      <w:pPr>
        <w:rPr>
          <w:rFonts w:ascii="Calibri" w:hAnsi="Calibri" w:cs="Calibri"/>
          <w:b/>
          <w:bCs/>
        </w:rPr>
      </w:pPr>
    </w:p>
    <w:p w14:paraId="44CE3940" w14:textId="6871F4FE" w:rsidR="0001227F" w:rsidRPr="00616069" w:rsidRDefault="000C12F1" w:rsidP="0001227F">
      <w:pPr>
        <w:rPr>
          <w:rFonts w:ascii="Calibri" w:hAnsi="Calibri" w:cs="Calibri"/>
          <w:b/>
          <w:color w:val="13576B"/>
          <w:sz w:val="22"/>
          <w:szCs w:val="22"/>
        </w:rPr>
      </w:pPr>
      <w:bookmarkStart w:id="2" w:name="_Hlk111121194"/>
      <w:r w:rsidRPr="00616069">
        <w:rPr>
          <w:rFonts w:ascii="Calibri" w:hAnsi="Calibri" w:cs="Calibri"/>
          <w:b/>
          <w:color w:val="13576B"/>
          <w:sz w:val="22"/>
          <w:szCs w:val="22"/>
        </w:rPr>
        <w:t xml:space="preserve">Praha, </w:t>
      </w:r>
      <w:r w:rsidR="005861DC">
        <w:rPr>
          <w:rFonts w:ascii="Calibri" w:hAnsi="Calibri" w:cs="Calibri"/>
          <w:b/>
          <w:color w:val="13576B"/>
          <w:sz w:val="22"/>
          <w:szCs w:val="22"/>
        </w:rPr>
        <w:t>1</w:t>
      </w:r>
      <w:r w:rsidR="002F0F08">
        <w:rPr>
          <w:rFonts w:ascii="Calibri" w:hAnsi="Calibri" w:cs="Calibri"/>
          <w:b/>
          <w:color w:val="13576B"/>
          <w:sz w:val="22"/>
          <w:szCs w:val="22"/>
        </w:rPr>
        <w:t>1</w:t>
      </w:r>
      <w:r w:rsidRPr="00616069">
        <w:rPr>
          <w:rFonts w:ascii="Calibri" w:hAnsi="Calibri" w:cs="Calibri"/>
          <w:b/>
          <w:color w:val="13576B"/>
          <w:sz w:val="22"/>
          <w:szCs w:val="22"/>
        </w:rPr>
        <w:t>.</w:t>
      </w:r>
      <w:r w:rsidR="00B96FD4" w:rsidRPr="00616069">
        <w:rPr>
          <w:rFonts w:ascii="Calibri" w:hAnsi="Calibri" w:cs="Calibri"/>
          <w:b/>
          <w:color w:val="13576B"/>
          <w:sz w:val="22"/>
          <w:szCs w:val="22"/>
        </w:rPr>
        <w:t xml:space="preserve"> </w:t>
      </w:r>
      <w:r w:rsidR="002F0F08">
        <w:rPr>
          <w:rFonts w:ascii="Calibri" w:hAnsi="Calibri" w:cs="Calibri"/>
          <w:b/>
          <w:color w:val="13576B"/>
          <w:sz w:val="22"/>
          <w:szCs w:val="22"/>
        </w:rPr>
        <w:t>října</w:t>
      </w:r>
      <w:r w:rsidR="000070E2">
        <w:rPr>
          <w:rFonts w:ascii="Calibri" w:hAnsi="Calibri" w:cs="Calibri"/>
          <w:b/>
          <w:color w:val="13576B"/>
          <w:sz w:val="22"/>
          <w:szCs w:val="22"/>
        </w:rPr>
        <w:t xml:space="preserve"> </w:t>
      </w:r>
      <w:r w:rsidRPr="00616069">
        <w:rPr>
          <w:rFonts w:ascii="Calibri" w:hAnsi="Calibri" w:cs="Calibri"/>
          <w:b/>
          <w:color w:val="13576B"/>
          <w:sz w:val="22"/>
          <w:szCs w:val="22"/>
        </w:rPr>
        <w:t>202</w:t>
      </w:r>
      <w:r w:rsidR="008E4D1F" w:rsidRPr="00616069">
        <w:rPr>
          <w:rFonts w:ascii="Calibri" w:hAnsi="Calibri" w:cs="Calibri"/>
          <w:b/>
          <w:color w:val="13576B"/>
          <w:sz w:val="22"/>
          <w:szCs w:val="22"/>
        </w:rPr>
        <w:t>4</w:t>
      </w:r>
      <w:r w:rsidRPr="00616069">
        <w:rPr>
          <w:rFonts w:ascii="Calibri" w:hAnsi="Calibri" w:cs="Calibri"/>
          <w:b/>
          <w:color w:val="13576B"/>
          <w:sz w:val="22"/>
          <w:szCs w:val="22"/>
        </w:rPr>
        <w:t xml:space="preserve"> – </w:t>
      </w:r>
      <w:bookmarkEnd w:id="2"/>
      <w:r w:rsidR="00CA3B1F" w:rsidRPr="00616069">
        <w:rPr>
          <w:rFonts w:ascii="Calibri" w:hAnsi="Calibri" w:cs="Calibri"/>
          <w:b/>
          <w:color w:val="13576B"/>
          <w:sz w:val="22"/>
          <w:szCs w:val="22"/>
        </w:rPr>
        <w:t xml:space="preserve">Banky a stavební spořitelny poskytly </w:t>
      </w:r>
      <w:r w:rsidR="00BC1D46" w:rsidRPr="00616069">
        <w:rPr>
          <w:rFonts w:ascii="Calibri" w:hAnsi="Calibri" w:cs="Calibri"/>
          <w:b/>
          <w:color w:val="13576B"/>
          <w:sz w:val="22"/>
          <w:szCs w:val="22"/>
        </w:rPr>
        <w:t>v</w:t>
      </w:r>
      <w:r w:rsidR="00574588">
        <w:rPr>
          <w:rFonts w:ascii="Calibri" w:hAnsi="Calibri" w:cs="Calibri"/>
          <w:b/>
          <w:color w:val="13576B"/>
          <w:sz w:val="22"/>
          <w:szCs w:val="22"/>
        </w:rPr>
        <w:t xml:space="preserve"> září</w:t>
      </w:r>
      <w:r w:rsidR="00A72DB7">
        <w:rPr>
          <w:rFonts w:ascii="Calibri" w:hAnsi="Calibri" w:cs="Calibri"/>
          <w:b/>
          <w:color w:val="13576B"/>
          <w:sz w:val="22"/>
          <w:szCs w:val="22"/>
        </w:rPr>
        <w:t xml:space="preserve"> letošního </w:t>
      </w:r>
      <w:r w:rsidR="008E4D1F" w:rsidRPr="00616069">
        <w:rPr>
          <w:rFonts w:ascii="Calibri" w:hAnsi="Calibri" w:cs="Calibri"/>
          <w:b/>
          <w:color w:val="13576B"/>
          <w:sz w:val="22"/>
          <w:szCs w:val="22"/>
        </w:rPr>
        <w:t>roku</w:t>
      </w:r>
      <w:r w:rsidR="006002FC" w:rsidRPr="00616069">
        <w:rPr>
          <w:rFonts w:ascii="Calibri" w:hAnsi="Calibri" w:cs="Calibri"/>
          <w:b/>
          <w:color w:val="13576B"/>
          <w:sz w:val="22"/>
          <w:szCs w:val="22"/>
        </w:rPr>
        <w:t xml:space="preserve"> </w:t>
      </w:r>
      <w:r w:rsidR="00CA3B1F" w:rsidRPr="00616069">
        <w:rPr>
          <w:rFonts w:ascii="Calibri" w:hAnsi="Calibri" w:cs="Calibri"/>
          <w:b/>
          <w:color w:val="13576B"/>
          <w:sz w:val="22"/>
          <w:szCs w:val="22"/>
        </w:rPr>
        <w:t xml:space="preserve">hypoteční úvěry </w:t>
      </w:r>
      <w:r w:rsidR="00635AB6">
        <w:rPr>
          <w:rFonts w:ascii="Calibri" w:hAnsi="Calibri" w:cs="Calibri"/>
          <w:b/>
          <w:color w:val="13576B"/>
          <w:sz w:val="22"/>
          <w:szCs w:val="22"/>
        </w:rPr>
        <w:t>za</w:t>
      </w:r>
      <w:r w:rsidR="005746F6">
        <w:rPr>
          <w:rFonts w:ascii="Calibri" w:hAnsi="Calibri" w:cs="Calibri"/>
          <w:b/>
          <w:color w:val="13576B"/>
          <w:sz w:val="22"/>
          <w:szCs w:val="22"/>
        </w:rPr>
        <w:t xml:space="preserve"> více než </w:t>
      </w:r>
      <w:r w:rsidR="00574588">
        <w:rPr>
          <w:rFonts w:ascii="Calibri" w:hAnsi="Calibri" w:cs="Calibri"/>
          <w:b/>
          <w:color w:val="13576B"/>
          <w:sz w:val="22"/>
          <w:szCs w:val="22"/>
        </w:rPr>
        <w:t>24</w:t>
      </w:r>
      <w:r w:rsidR="005746F6">
        <w:rPr>
          <w:rFonts w:ascii="Calibri" w:hAnsi="Calibri" w:cs="Calibri"/>
          <w:b/>
          <w:color w:val="13576B"/>
          <w:sz w:val="22"/>
          <w:szCs w:val="22"/>
        </w:rPr>
        <w:t xml:space="preserve"> </w:t>
      </w:r>
      <w:r w:rsidR="00635AB6">
        <w:rPr>
          <w:rFonts w:ascii="Calibri" w:hAnsi="Calibri" w:cs="Calibri"/>
          <w:b/>
          <w:color w:val="13576B"/>
          <w:sz w:val="22"/>
          <w:szCs w:val="22"/>
        </w:rPr>
        <w:t>mld. Kč</w:t>
      </w:r>
      <w:r w:rsidR="00C81EBC">
        <w:rPr>
          <w:rFonts w:ascii="Calibri" w:hAnsi="Calibri" w:cs="Calibri"/>
          <w:b/>
          <w:color w:val="13576B"/>
          <w:sz w:val="22"/>
          <w:szCs w:val="22"/>
        </w:rPr>
        <w:t>, z toho skutečně nové úvěry</w:t>
      </w:r>
      <w:r w:rsidR="00635AB6">
        <w:rPr>
          <w:rFonts w:ascii="Calibri" w:hAnsi="Calibri" w:cs="Calibri"/>
          <w:b/>
          <w:color w:val="13576B"/>
          <w:sz w:val="22"/>
          <w:szCs w:val="22"/>
        </w:rPr>
        <w:t xml:space="preserve"> činily </w:t>
      </w:r>
      <w:r w:rsidR="005746F6">
        <w:rPr>
          <w:rFonts w:ascii="Calibri" w:hAnsi="Calibri" w:cs="Calibri"/>
          <w:b/>
          <w:color w:val="13576B"/>
          <w:sz w:val="22"/>
          <w:szCs w:val="22"/>
        </w:rPr>
        <w:t>bezmála 2</w:t>
      </w:r>
      <w:r w:rsidR="00574588">
        <w:rPr>
          <w:rFonts w:ascii="Calibri" w:hAnsi="Calibri" w:cs="Calibri"/>
          <w:b/>
          <w:color w:val="13576B"/>
          <w:sz w:val="22"/>
          <w:szCs w:val="22"/>
        </w:rPr>
        <w:t>0</w:t>
      </w:r>
      <w:r w:rsidR="005746F6">
        <w:rPr>
          <w:rFonts w:ascii="Calibri" w:hAnsi="Calibri" w:cs="Calibri"/>
          <w:b/>
          <w:color w:val="13576B"/>
          <w:sz w:val="22"/>
          <w:szCs w:val="22"/>
        </w:rPr>
        <w:t xml:space="preserve"> </w:t>
      </w:r>
      <w:r w:rsidR="00635AB6">
        <w:rPr>
          <w:rFonts w:ascii="Calibri" w:hAnsi="Calibri" w:cs="Calibri"/>
          <w:b/>
          <w:color w:val="13576B"/>
          <w:sz w:val="22"/>
          <w:szCs w:val="22"/>
        </w:rPr>
        <w:t>mld</w:t>
      </w:r>
      <w:r w:rsidR="00944CB3">
        <w:rPr>
          <w:rFonts w:ascii="Calibri" w:hAnsi="Calibri" w:cs="Calibri"/>
          <w:b/>
          <w:color w:val="13576B"/>
          <w:sz w:val="22"/>
          <w:szCs w:val="22"/>
        </w:rPr>
        <w:t>.</w:t>
      </w:r>
      <w:r w:rsidR="00635AB6">
        <w:rPr>
          <w:rFonts w:ascii="Calibri" w:hAnsi="Calibri" w:cs="Calibri"/>
          <w:b/>
          <w:color w:val="13576B"/>
          <w:sz w:val="22"/>
          <w:szCs w:val="22"/>
        </w:rPr>
        <w:t xml:space="preserve"> Kč</w:t>
      </w:r>
      <w:r w:rsidR="00210A9C">
        <w:rPr>
          <w:rFonts w:ascii="Calibri" w:hAnsi="Calibri" w:cs="Calibri"/>
          <w:b/>
          <w:color w:val="13576B"/>
          <w:sz w:val="22"/>
          <w:szCs w:val="22"/>
        </w:rPr>
        <w:t xml:space="preserve">. Oproti </w:t>
      </w:r>
      <w:r w:rsidR="00574588">
        <w:rPr>
          <w:rFonts w:ascii="Calibri" w:hAnsi="Calibri" w:cs="Calibri"/>
          <w:b/>
          <w:color w:val="13576B"/>
          <w:sz w:val="22"/>
          <w:szCs w:val="22"/>
        </w:rPr>
        <w:t xml:space="preserve">srpnu </w:t>
      </w:r>
      <w:r w:rsidR="00210A9C">
        <w:rPr>
          <w:rFonts w:ascii="Calibri" w:hAnsi="Calibri" w:cs="Calibri"/>
          <w:b/>
          <w:color w:val="13576B"/>
          <w:sz w:val="22"/>
          <w:szCs w:val="22"/>
        </w:rPr>
        <w:t xml:space="preserve">se </w:t>
      </w:r>
      <w:r w:rsidR="004C0AC1">
        <w:rPr>
          <w:rFonts w:ascii="Calibri" w:hAnsi="Calibri" w:cs="Calibri"/>
          <w:b/>
          <w:color w:val="13576B"/>
          <w:sz w:val="22"/>
          <w:szCs w:val="22"/>
        </w:rPr>
        <w:t xml:space="preserve">však </w:t>
      </w:r>
      <w:r w:rsidR="00210A9C">
        <w:rPr>
          <w:rFonts w:ascii="Calibri" w:hAnsi="Calibri" w:cs="Calibri"/>
          <w:b/>
          <w:color w:val="13576B"/>
          <w:sz w:val="22"/>
          <w:szCs w:val="22"/>
        </w:rPr>
        <w:t xml:space="preserve">hypoteční aktivita </w:t>
      </w:r>
      <w:r w:rsidR="00574588">
        <w:rPr>
          <w:rFonts w:ascii="Calibri" w:hAnsi="Calibri" w:cs="Calibri"/>
          <w:b/>
          <w:color w:val="13576B"/>
          <w:sz w:val="22"/>
          <w:szCs w:val="22"/>
        </w:rPr>
        <w:t>snížila</w:t>
      </w:r>
      <w:r w:rsidR="005746F6">
        <w:rPr>
          <w:rFonts w:ascii="Calibri" w:hAnsi="Calibri" w:cs="Calibri"/>
          <w:b/>
          <w:color w:val="13576B"/>
          <w:sz w:val="22"/>
          <w:szCs w:val="22"/>
        </w:rPr>
        <w:t xml:space="preserve"> o</w:t>
      </w:r>
      <w:r w:rsidR="00574588">
        <w:rPr>
          <w:rFonts w:ascii="Calibri" w:hAnsi="Calibri" w:cs="Calibri"/>
          <w:b/>
          <w:color w:val="13576B"/>
          <w:sz w:val="22"/>
          <w:szCs w:val="22"/>
        </w:rPr>
        <w:t xml:space="preserve"> čtvrtinu</w:t>
      </w:r>
      <w:r w:rsidR="005746F6">
        <w:rPr>
          <w:rFonts w:ascii="Calibri" w:hAnsi="Calibri" w:cs="Calibri"/>
          <w:b/>
          <w:color w:val="13576B"/>
          <w:sz w:val="22"/>
          <w:szCs w:val="22"/>
        </w:rPr>
        <w:t>. Srp</w:t>
      </w:r>
      <w:r w:rsidR="00574588">
        <w:rPr>
          <w:rFonts w:ascii="Calibri" w:hAnsi="Calibri" w:cs="Calibri"/>
          <w:b/>
          <w:color w:val="13576B"/>
          <w:sz w:val="22"/>
          <w:szCs w:val="22"/>
        </w:rPr>
        <w:t>en letošního roku byl</w:t>
      </w:r>
      <w:r w:rsidR="004C0AC1">
        <w:rPr>
          <w:rFonts w:ascii="Calibri" w:hAnsi="Calibri" w:cs="Calibri"/>
          <w:b/>
          <w:color w:val="13576B"/>
          <w:sz w:val="22"/>
          <w:szCs w:val="22"/>
        </w:rPr>
        <w:t xml:space="preserve"> totiž</w:t>
      </w:r>
      <w:r w:rsidR="00574588">
        <w:rPr>
          <w:rFonts w:ascii="Calibri" w:hAnsi="Calibri" w:cs="Calibri"/>
          <w:b/>
          <w:color w:val="13576B"/>
          <w:sz w:val="22"/>
          <w:szCs w:val="22"/>
        </w:rPr>
        <w:t xml:space="preserve"> pozitivně ovlivněn snahou domácnost</w:t>
      </w:r>
      <w:r w:rsidR="005F2075">
        <w:rPr>
          <w:rFonts w:ascii="Calibri" w:hAnsi="Calibri" w:cs="Calibri"/>
          <w:b/>
          <w:color w:val="13576B"/>
          <w:sz w:val="22"/>
          <w:szCs w:val="22"/>
        </w:rPr>
        <w:t>í</w:t>
      </w:r>
      <w:r w:rsidR="00574588">
        <w:rPr>
          <w:rFonts w:ascii="Calibri" w:hAnsi="Calibri" w:cs="Calibri"/>
          <w:b/>
          <w:color w:val="13576B"/>
          <w:sz w:val="22"/>
          <w:szCs w:val="22"/>
        </w:rPr>
        <w:t xml:space="preserve"> uzavřít hypoteční smlouv</w:t>
      </w:r>
      <w:r w:rsidR="005F2075">
        <w:rPr>
          <w:rFonts w:ascii="Calibri" w:hAnsi="Calibri" w:cs="Calibri"/>
          <w:b/>
          <w:color w:val="13576B"/>
          <w:sz w:val="22"/>
          <w:szCs w:val="22"/>
        </w:rPr>
        <w:t>y</w:t>
      </w:r>
      <w:r w:rsidR="00574588">
        <w:rPr>
          <w:rFonts w:ascii="Calibri" w:hAnsi="Calibri" w:cs="Calibri"/>
          <w:b/>
          <w:color w:val="13576B"/>
          <w:sz w:val="22"/>
          <w:szCs w:val="22"/>
        </w:rPr>
        <w:t xml:space="preserve"> ještě před účinností novely zákona upravující podmínky předčasného splacení hypotečního úvěru.</w:t>
      </w:r>
      <w:r w:rsidR="005746F6">
        <w:rPr>
          <w:rFonts w:ascii="Calibri" w:hAnsi="Calibri" w:cs="Calibri"/>
          <w:b/>
          <w:color w:val="13576B"/>
          <w:sz w:val="22"/>
          <w:szCs w:val="22"/>
        </w:rPr>
        <w:t xml:space="preserve"> </w:t>
      </w:r>
      <w:r w:rsidR="00210A9C">
        <w:rPr>
          <w:rFonts w:ascii="Calibri" w:hAnsi="Calibri" w:cs="Calibri"/>
          <w:b/>
          <w:color w:val="13576B"/>
          <w:sz w:val="22"/>
          <w:szCs w:val="22"/>
        </w:rPr>
        <w:t xml:space="preserve">V meziročním </w:t>
      </w:r>
      <w:r w:rsidR="00635AB6">
        <w:rPr>
          <w:rFonts w:ascii="Calibri" w:hAnsi="Calibri" w:cs="Calibri"/>
          <w:b/>
          <w:color w:val="13576B"/>
          <w:sz w:val="22"/>
          <w:szCs w:val="22"/>
        </w:rPr>
        <w:t>vyjádření růst</w:t>
      </w:r>
      <w:r w:rsidR="00574588">
        <w:rPr>
          <w:rFonts w:ascii="Calibri" w:hAnsi="Calibri" w:cs="Calibri"/>
          <w:b/>
          <w:color w:val="13576B"/>
          <w:sz w:val="22"/>
          <w:szCs w:val="22"/>
        </w:rPr>
        <w:t xml:space="preserve"> objemu poskytnutých hypoték zpomalil </w:t>
      </w:r>
      <w:r w:rsidR="00210A9C">
        <w:rPr>
          <w:rFonts w:ascii="Calibri" w:hAnsi="Calibri" w:cs="Calibri"/>
          <w:b/>
          <w:color w:val="13576B"/>
          <w:sz w:val="22"/>
          <w:szCs w:val="22"/>
        </w:rPr>
        <w:t>z</w:t>
      </w:r>
      <w:r w:rsidR="00574588">
        <w:rPr>
          <w:rFonts w:ascii="Calibri" w:hAnsi="Calibri" w:cs="Calibri"/>
          <w:b/>
          <w:color w:val="13576B"/>
          <w:sz w:val="22"/>
          <w:szCs w:val="22"/>
        </w:rPr>
        <w:t>e</w:t>
      </w:r>
      <w:r w:rsidR="005746F6">
        <w:rPr>
          <w:rFonts w:ascii="Calibri" w:hAnsi="Calibri" w:cs="Calibri"/>
          <w:b/>
          <w:color w:val="13576B"/>
          <w:sz w:val="22"/>
          <w:szCs w:val="22"/>
        </w:rPr>
        <w:t> </w:t>
      </w:r>
      <w:r w:rsidR="00574588">
        <w:rPr>
          <w:rFonts w:ascii="Calibri" w:hAnsi="Calibri" w:cs="Calibri"/>
          <w:b/>
          <w:color w:val="13576B"/>
          <w:sz w:val="22"/>
          <w:szCs w:val="22"/>
        </w:rPr>
        <w:t xml:space="preserve">srpnových 130 % na bezmála 80 %. </w:t>
      </w:r>
      <w:r w:rsidR="00C66586">
        <w:rPr>
          <w:rFonts w:ascii="Calibri" w:hAnsi="Calibri" w:cs="Calibri"/>
          <w:b/>
          <w:color w:val="13576B"/>
          <w:sz w:val="22"/>
          <w:szCs w:val="22"/>
        </w:rPr>
        <w:t xml:space="preserve">Zářijový objem hypoték se tak navrací k více standardním hodnotám letošního roku, nadále však potvrzuje postupné oživování </w:t>
      </w:r>
      <w:r w:rsidR="004C0AC1">
        <w:rPr>
          <w:rFonts w:ascii="Calibri" w:hAnsi="Calibri" w:cs="Calibri"/>
          <w:b/>
          <w:color w:val="13576B"/>
          <w:sz w:val="22"/>
          <w:szCs w:val="22"/>
        </w:rPr>
        <w:t xml:space="preserve">aktivity </w:t>
      </w:r>
      <w:r w:rsidR="00C66586">
        <w:rPr>
          <w:rFonts w:ascii="Calibri" w:hAnsi="Calibri" w:cs="Calibri"/>
          <w:b/>
          <w:color w:val="13576B"/>
          <w:sz w:val="22"/>
          <w:szCs w:val="22"/>
        </w:rPr>
        <w:t xml:space="preserve">na hypotečním trhu. Od ledna do září činí meziroční nárůst objemu poskytnutých hypoték více než 90 %, v případě počtu poskytnutých hypoték pak 60 %. </w:t>
      </w:r>
      <w:r w:rsidR="008E4D1F" w:rsidRPr="00616069">
        <w:rPr>
          <w:rFonts w:ascii="Calibri" w:hAnsi="Calibri" w:cs="Calibri"/>
          <w:b/>
          <w:color w:val="13576B"/>
          <w:sz w:val="22"/>
          <w:szCs w:val="22"/>
        </w:rPr>
        <w:t>Průměrná hypoteční sazba</w:t>
      </w:r>
      <w:r w:rsidR="008E27A7" w:rsidRPr="00616069">
        <w:rPr>
          <w:rFonts w:ascii="Calibri" w:hAnsi="Calibri" w:cs="Calibri"/>
          <w:b/>
          <w:color w:val="13576B"/>
          <w:sz w:val="22"/>
          <w:szCs w:val="22"/>
        </w:rPr>
        <w:t xml:space="preserve"> u nových úvěrů</w:t>
      </w:r>
      <w:r w:rsidR="00210A9C">
        <w:rPr>
          <w:rFonts w:ascii="Calibri" w:hAnsi="Calibri" w:cs="Calibri"/>
          <w:b/>
          <w:color w:val="13576B"/>
          <w:sz w:val="22"/>
          <w:szCs w:val="22"/>
        </w:rPr>
        <w:t xml:space="preserve"> </w:t>
      </w:r>
      <w:r w:rsidR="00C66586">
        <w:rPr>
          <w:rFonts w:ascii="Calibri" w:hAnsi="Calibri" w:cs="Calibri"/>
          <w:b/>
          <w:color w:val="13576B"/>
          <w:sz w:val="22"/>
          <w:szCs w:val="22"/>
        </w:rPr>
        <w:t xml:space="preserve">se nepatrně snížila na 4,96 </w:t>
      </w:r>
      <w:r w:rsidR="005746F6">
        <w:rPr>
          <w:rFonts w:ascii="Calibri" w:hAnsi="Calibri" w:cs="Calibri"/>
          <w:b/>
          <w:color w:val="13576B"/>
          <w:sz w:val="22"/>
          <w:szCs w:val="22"/>
        </w:rPr>
        <w:t xml:space="preserve">% po </w:t>
      </w:r>
      <w:r w:rsidR="00C66586">
        <w:rPr>
          <w:rFonts w:ascii="Calibri" w:hAnsi="Calibri" w:cs="Calibri"/>
          <w:b/>
          <w:color w:val="13576B"/>
          <w:sz w:val="22"/>
          <w:szCs w:val="22"/>
        </w:rPr>
        <w:t>srpnových 4</w:t>
      </w:r>
      <w:r w:rsidR="005746F6">
        <w:rPr>
          <w:rFonts w:ascii="Calibri" w:hAnsi="Calibri" w:cs="Calibri"/>
          <w:b/>
          <w:color w:val="13576B"/>
          <w:sz w:val="22"/>
          <w:szCs w:val="22"/>
        </w:rPr>
        <w:t>,</w:t>
      </w:r>
      <w:r w:rsidR="00C66586">
        <w:rPr>
          <w:rFonts w:ascii="Calibri" w:hAnsi="Calibri" w:cs="Calibri"/>
          <w:b/>
          <w:color w:val="13576B"/>
          <w:sz w:val="22"/>
          <w:szCs w:val="22"/>
        </w:rPr>
        <w:t>98</w:t>
      </w:r>
      <w:r w:rsidR="005746F6">
        <w:rPr>
          <w:rFonts w:ascii="Calibri" w:hAnsi="Calibri" w:cs="Calibri"/>
          <w:b/>
          <w:color w:val="13576B"/>
          <w:sz w:val="22"/>
          <w:szCs w:val="22"/>
        </w:rPr>
        <w:t xml:space="preserve"> %.</w:t>
      </w:r>
      <w:r w:rsidR="007435D3">
        <w:rPr>
          <w:rFonts w:ascii="Calibri" w:hAnsi="Calibri" w:cs="Calibri"/>
          <w:b/>
          <w:color w:val="13576B"/>
          <w:sz w:val="22"/>
          <w:szCs w:val="22"/>
        </w:rPr>
        <w:t xml:space="preserve"> </w:t>
      </w:r>
      <w:r w:rsidR="00A01D67">
        <w:rPr>
          <w:rFonts w:ascii="Calibri" w:hAnsi="Calibri" w:cs="Calibri"/>
          <w:b/>
          <w:color w:val="13576B"/>
          <w:sz w:val="22"/>
          <w:szCs w:val="22"/>
        </w:rPr>
        <w:t xml:space="preserve">Průměrná </w:t>
      </w:r>
      <w:r w:rsidR="00D0011E">
        <w:rPr>
          <w:rFonts w:ascii="Calibri" w:hAnsi="Calibri" w:cs="Calibri"/>
          <w:b/>
          <w:color w:val="13576B"/>
          <w:sz w:val="22"/>
          <w:szCs w:val="22"/>
        </w:rPr>
        <w:t xml:space="preserve">velikost </w:t>
      </w:r>
      <w:r w:rsidR="00A01D67">
        <w:rPr>
          <w:rFonts w:ascii="Calibri" w:hAnsi="Calibri" w:cs="Calibri"/>
          <w:b/>
          <w:color w:val="13576B"/>
          <w:sz w:val="22"/>
          <w:szCs w:val="22"/>
        </w:rPr>
        <w:t>hypoték</w:t>
      </w:r>
      <w:r w:rsidR="00D0011E">
        <w:rPr>
          <w:rFonts w:ascii="Calibri" w:hAnsi="Calibri" w:cs="Calibri"/>
          <w:b/>
          <w:color w:val="13576B"/>
          <w:sz w:val="22"/>
          <w:szCs w:val="22"/>
        </w:rPr>
        <w:t>y</w:t>
      </w:r>
      <w:r w:rsidR="00A01D67">
        <w:rPr>
          <w:rFonts w:ascii="Calibri" w:hAnsi="Calibri" w:cs="Calibri"/>
          <w:b/>
          <w:color w:val="13576B"/>
          <w:sz w:val="22"/>
          <w:szCs w:val="22"/>
        </w:rPr>
        <w:t xml:space="preserve"> se</w:t>
      </w:r>
      <w:r w:rsidR="00C66586">
        <w:rPr>
          <w:rFonts w:ascii="Calibri" w:hAnsi="Calibri" w:cs="Calibri"/>
          <w:b/>
          <w:color w:val="13576B"/>
          <w:sz w:val="22"/>
          <w:szCs w:val="22"/>
        </w:rPr>
        <w:t xml:space="preserve"> po srpnových </w:t>
      </w:r>
      <w:r w:rsidR="00A01D67">
        <w:rPr>
          <w:rFonts w:ascii="Calibri" w:hAnsi="Calibri" w:cs="Calibri"/>
          <w:b/>
          <w:color w:val="13576B"/>
          <w:sz w:val="22"/>
          <w:szCs w:val="22"/>
        </w:rPr>
        <w:t>3,</w:t>
      </w:r>
      <w:r w:rsidR="005746F6">
        <w:rPr>
          <w:rFonts w:ascii="Calibri" w:hAnsi="Calibri" w:cs="Calibri"/>
          <w:b/>
          <w:color w:val="13576B"/>
          <w:sz w:val="22"/>
          <w:szCs w:val="22"/>
        </w:rPr>
        <w:t>95</w:t>
      </w:r>
      <w:r w:rsidR="00E57208">
        <w:rPr>
          <w:rFonts w:ascii="Calibri" w:hAnsi="Calibri" w:cs="Calibri"/>
          <w:b/>
          <w:color w:val="13576B"/>
          <w:sz w:val="22"/>
          <w:szCs w:val="22"/>
        </w:rPr>
        <w:t xml:space="preserve"> </w:t>
      </w:r>
      <w:r w:rsidR="00A01D67">
        <w:rPr>
          <w:rFonts w:ascii="Calibri" w:hAnsi="Calibri" w:cs="Calibri"/>
          <w:b/>
          <w:color w:val="13576B"/>
          <w:sz w:val="22"/>
          <w:szCs w:val="22"/>
        </w:rPr>
        <w:t>mil. Kč</w:t>
      </w:r>
      <w:r w:rsidR="00C66586">
        <w:rPr>
          <w:rFonts w:ascii="Calibri" w:hAnsi="Calibri" w:cs="Calibri"/>
          <w:b/>
          <w:color w:val="13576B"/>
          <w:sz w:val="22"/>
          <w:szCs w:val="22"/>
        </w:rPr>
        <w:t xml:space="preserve"> navrátila </w:t>
      </w:r>
      <w:r w:rsidR="004C0AC1">
        <w:rPr>
          <w:rFonts w:ascii="Calibri" w:hAnsi="Calibri" w:cs="Calibri"/>
          <w:b/>
          <w:color w:val="13576B"/>
          <w:sz w:val="22"/>
          <w:szCs w:val="22"/>
        </w:rPr>
        <w:t>blíže</w:t>
      </w:r>
      <w:r w:rsidR="00C66586">
        <w:rPr>
          <w:rFonts w:ascii="Calibri" w:hAnsi="Calibri" w:cs="Calibri"/>
          <w:b/>
          <w:color w:val="13576B"/>
          <w:sz w:val="22"/>
          <w:szCs w:val="22"/>
        </w:rPr>
        <w:t xml:space="preserve"> červencové úrovni 3,76 mil. Kč. </w:t>
      </w:r>
      <w:r w:rsidR="00CA3B1F" w:rsidRPr="00616069">
        <w:rPr>
          <w:rFonts w:ascii="Calibri" w:hAnsi="Calibri" w:cs="Calibri"/>
          <w:b/>
          <w:color w:val="13576B"/>
          <w:sz w:val="22"/>
          <w:szCs w:val="22"/>
        </w:rPr>
        <w:t>Uvedené informace plynou z</w:t>
      </w:r>
      <w:r w:rsidR="0082687A" w:rsidRPr="00616069">
        <w:rPr>
          <w:rFonts w:ascii="Calibri" w:hAnsi="Calibri" w:cs="Calibri"/>
          <w:b/>
          <w:color w:val="13576B"/>
          <w:sz w:val="22"/>
          <w:szCs w:val="22"/>
        </w:rPr>
        <w:t xml:space="preserve"> údajů </w:t>
      </w:r>
      <w:r w:rsidR="00CA3B1F" w:rsidRPr="00616069">
        <w:rPr>
          <w:rFonts w:ascii="Calibri" w:hAnsi="Calibri" w:cs="Calibri"/>
          <w:b/>
          <w:color w:val="13576B"/>
          <w:sz w:val="22"/>
          <w:szCs w:val="22"/>
        </w:rPr>
        <w:t>ČBA Hypomonitoru, který zachycuje data všech tuzemských bank a stavebních spořitelen poskytujících hypoteční úvěry.</w:t>
      </w:r>
      <w:r w:rsidR="00C45097">
        <w:rPr>
          <w:rFonts w:ascii="Calibri" w:hAnsi="Calibri" w:cs="Calibri"/>
          <w:b/>
          <w:color w:val="13576B"/>
          <w:sz w:val="22"/>
          <w:szCs w:val="22"/>
        </w:rPr>
        <w:t xml:space="preserve"> </w:t>
      </w:r>
    </w:p>
    <w:p w14:paraId="2341B0FD" w14:textId="77777777" w:rsidR="009450BA" w:rsidRPr="00616069" w:rsidRDefault="009450BA" w:rsidP="0001227F">
      <w:pPr>
        <w:rPr>
          <w:rFonts w:ascii="Calibri" w:hAnsi="Calibri" w:cs="Calibri"/>
          <w:b/>
          <w:color w:val="13576B"/>
          <w:sz w:val="22"/>
          <w:szCs w:val="22"/>
        </w:rPr>
      </w:pPr>
    </w:p>
    <w:p w14:paraId="20AA364A" w14:textId="09C3950A" w:rsidR="003C41DD" w:rsidRPr="00616069" w:rsidRDefault="009D674E" w:rsidP="00B14557">
      <w:pPr>
        <w:rPr>
          <w:rFonts w:ascii="Calibri" w:hAnsi="Calibri" w:cs="Calibri"/>
          <w:b/>
          <w:color w:val="13576B"/>
          <w:sz w:val="24"/>
          <w:szCs w:val="24"/>
        </w:rPr>
      </w:pPr>
      <w:bookmarkStart w:id="3" w:name="_Hlk119308342"/>
      <w:bookmarkStart w:id="4" w:name="_Hlk111121228"/>
      <w:r w:rsidRPr="00616069">
        <w:rPr>
          <w:rFonts w:ascii="Calibri" w:hAnsi="Calibri" w:cs="Calibri"/>
          <w:b/>
          <w:color w:val="13576B"/>
          <w:sz w:val="24"/>
          <w:szCs w:val="24"/>
        </w:rPr>
        <w:t>Objem po</w:t>
      </w:r>
      <w:r w:rsidR="00E733D4" w:rsidRPr="00616069">
        <w:rPr>
          <w:rFonts w:ascii="Calibri" w:hAnsi="Calibri" w:cs="Calibri"/>
          <w:b/>
          <w:color w:val="13576B"/>
          <w:sz w:val="24"/>
          <w:szCs w:val="24"/>
        </w:rPr>
        <w:t>s</w:t>
      </w:r>
      <w:r w:rsidRPr="00616069">
        <w:rPr>
          <w:rFonts w:ascii="Calibri" w:hAnsi="Calibri" w:cs="Calibri"/>
          <w:b/>
          <w:color w:val="13576B"/>
          <w:sz w:val="24"/>
          <w:szCs w:val="24"/>
        </w:rPr>
        <w:t>kytnutých hypoték</w:t>
      </w:r>
      <w:r w:rsidR="003C41DD" w:rsidRPr="00616069">
        <w:rPr>
          <w:rFonts w:ascii="Calibri" w:hAnsi="Calibri" w:cs="Calibri"/>
          <w:b/>
          <w:color w:val="13576B"/>
          <w:sz w:val="24"/>
          <w:szCs w:val="24"/>
        </w:rPr>
        <w:t xml:space="preserve"> </w:t>
      </w:r>
      <w:bookmarkStart w:id="5" w:name="_Hlk119308363"/>
      <w:bookmarkEnd w:id="3"/>
      <w:r w:rsidR="00C66586">
        <w:rPr>
          <w:rFonts w:ascii="Calibri" w:hAnsi="Calibri" w:cs="Calibri"/>
          <w:b/>
          <w:color w:val="13576B"/>
          <w:sz w:val="24"/>
          <w:szCs w:val="24"/>
        </w:rPr>
        <w:t>se v zář</w:t>
      </w:r>
      <w:r w:rsidR="005F2075">
        <w:rPr>
          <w:rFonts w:ascii="Calibri" w:hAnsi="Calibri" w:cs="Calibri"/>
          <w:b/>
          <w:color w:val="13576B"/>
          <w:sz w:val="24"/>
          <w:szCs w:val="24"/>
        </w:rPr>
        <w:t>í</w:t>
      </w:r>
      <w:r w:rsidR="00C66586">
        <w:rPr>
          <w:rFonts w:ascii="Calibri" w:hAnsi="Calibri" w:cs="Calibri"/>
          <w:b/>
          <w:color w:val="13576B"/>
          <w:sz w:val="24"/>
          <w:szCs w:val="24"/>
        </w:rPr>
        <w:t xml:space="preserve"> navrátil k hodnotám běžným před mimořádným srpnem</w:t>
      </w:r>
    </w:p>
    <w:p w14:paraId="6BD050E4" w14:textId="76D0AF27" w:rsidR="00FF3E5C" w:rsidRPr="00616069" w:rsidRDefault="00AA4A27" w:rsidP="00B14557">
      <w:pPr>
        <w:rPr>
          <w:rFonts w:ascii="Calibri" w:hAnsi="Calibri" w:cs="Calibri"/>
          <w:sz w:val="22"/>
          <w:szCs w:val="22"/>
        </w:rPr>
      </w:pPr>
      <w:r w:rsidRPr="00616069">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13805053" wp14:editId="45A19A19">
                <wp:simplePos x="0" y="0"/>
                <wp:positionH relativeFrom="margin">
                  <wp:posOffset>-56515</wp:posOffset>
                </wp:positionH>
                <wp:positionV relativeFrom="paragraph">
                  <wp:posOffset>1411605</wp:posOffset>
                </wp:positionV>
                <wp:extent cx="6519545" cy="825500"/>
                <wp:effectExtent l="0" t="0" r="14605" b="12700"/>
                <wp:wrapTopAndBottom/>
                <wp:docPr id="1319296764" name="Rectangle 1"/>
                <wp:cNvGraphicFramePr/>
                <a:graphic xmlns:a="http://schemas.openxmlformats.org/drawingml/2006/main">
                  <a:graphicData uri="http://schemas.microsoft.com/office/word/2010/wordprocessingShape">
                    <wps:wsp>
                      <wps:cNvSpPr/>
                      <wps:spPr>
                        <a:xfrm>
                          <a:off x="0" y="0"/>
                          <a:ext cx="6519545" cy="825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B7BE1F" w14:textId="729EA094" w:rsidR="00B233EC" w:rsidRPr="00490505" w:rsidRDefault="00A86D7C" w:rsidP="00490505">
                            <w:pPr>
                              <w:rPr>
                                <w:rFonts w:ascii="Calibri" w:hAnsi="Calibri" w:cs="Calibri"/>
                                <w:b/>
                                <w:bCs/>
                                <w:sz w:val="22"/>
                                <w:szCs w:val="22"/>
                              </w:rPr>
                            </w:pPr>
                            <w:r w:rsidRPr="00A86D7C">
                              <w:rPr>
                                <w:rFonts w:ascii="Calibri" w:hAnsi="Calibri" w:cs="Calibri"/>
                                <w:i/>
                                <w:iCs/>
                                <w:sz w:val="22"/>
                                <w:szCs w:val="22"/>
                              </w:rPr>
                              <w:t>„</w:t>
                            </w:r>
                            <w:bookmarkStart w:id="6" w:name="_Hlk177030050"/>
                            <w:r w:rsidR="00F520B3" w:rsidRPr="00F520B3">
                              <w:rPr>
                                <w:rFonts w:ascii="Calibri" w:hAnsi="Calibri" w:cs="Calibri"/>
                                <w:i/>
                                <w:iCs/>
                                <w:sz w:val="22"/>
                                <w:szCs w:val="22"/>
                              </w:rPr>
                              <w:t>Srpnový nebývalý nárůst zájmu o hypotéky byl pravděpodobně způsobený zákonnými změnami v pravidlech předčasného splácení, které začaly platit v září. Zářijový vývoj se tak vrací do starých kolejí a hypoteční trh pokračuje ve svém setrvalém růstu, způsobeném jak pozitivní spotřebitelskou náladou, tak pozvolným poklesem úrokových sazeb</w:t>
                            </w:r>
                            <w:r w:rsidRPr="00A86D7C">
                              <w:rPr>
                                <w:rFonts w:ascii="Calibri" w:hAnsi="Calibri" w:cs="Calibri"/>
                                <w:i/>
                                <w:iCs/>
                                <w:sz w:val="22"/>
                                <w:szCs w:val="22"/>
                              </w:rPr>
                              <w:t xml:space="preserve">,“ </w:t>
                            </w:r>
                            <w:bookmarkEnd w:id="6"/>
                            <w:r w:rsidR="00F520B3" w:rsidRPr="00F520B3">
                              <w:rPr>
                                <w:rFonts w:ascii="Calibri" w:hAnsi="Calibri" w:cs="Calibri"/>
                                <w:b/>
                                <w:bCs/>
                                <w:sz w:val="22"/>
                                <w:szCs w:val="22"/>
                              </w:rPr>
                              <w:t>uvádí Petr Gapko, hlavní ekonom Moneta Money Bank.</w:t>
                            </w:r>
                          </w:p>
                          <w:p w14:paraId="0B44AA3D" w14:textId="4CFA25BD" w:rsidR="00C16E21" w:rsidRPr="00A72DB7" w:rsidRDefault="00C16E21" w:rsidP="00C16E21">
                            <w:pPr>
                              <w:rPr>
                                <w:rFonts w:ascii="Calibri" w:hAnsi="Calibri" w:cs="Calibri"/>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5053" id="Rectangle 1" o:spid="_x0000_s1026" style="position:absolute;left:0;text-align:left;margin-left:-4.45pt;margin-top:111.15pt;width:513.35pt;height:6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" fillcolor="white [3201]" strokecolor="black [3213]" strokeweight=".5pt">
                <v:textbox>
                  <w:txbxContent>
                    <w:p w14:paraId="41B7BE1F" w14:textId="729EA094" w:rsidR="00B233EC" w:rsidRPr="00490505" w:rsidRDefault="00A86D7C" w:rsidP="00490505">
                      <w:pPr>
                        <w:rPr>
                          <w:rFonts w:ascii="Calibri" w:hAnsi="Calibri" w:cs="Calibri"/>
                          <w:b/>
                          <w:bCs/>
                          <w:sz w:val="22"/>
                          <w:szCs w:val="22"/>
                        </w:rPr>
                      </w:pPr>
                      <w:r w:rsidRPr="00A86D7C">
                        <w:rPr>
                          <w:rFonts w:ascii="Calibri" w:hAnsi="Calibri" w:cs="Calibri"/>
                          <w:i/>
                          <w:iCs/>
                          <w:sz w:val="22"/>
                          <w:szCs w:val="22"/>
                        </w:rPr>
                        <w:t>„</w:t>
                      </w:r>
                      <w:bookmarkStart w:id="7" w:name="_Hlk177030050"/>
                      <w:r w:rsidR="00F520B3" w:rsidRPr="00F520B3">
                        <w:rPr>
                          <w:rFonts w:ascii="Calibri" w:hAnsi="Calibri" w:cs="Calibri"/>
                          <w:i/>
                          <w:iCs/>
                          <w:sz w:val="22"/>
                          <w:szCs w:val="22"/>
                        </w:rPr>
                        <w:t>Srpnový nebývalý nárůst zájmu o hypotéky byl pravděpodobně způsobený zákonnými změnami v pravidlech předčasného splácení, které začaly platit v září. Zářijový vývoj se tak vrací do starých kolejí a hypoteční trh pokračuje ve svém setrvalém růstu, způsobeném jak pozitivní spotřebitelskou náladou, tak pozvolným poklesem úrokových sazeb</w:t>
                      </w:r>
                      <w:r w:rsidRPr="00A86D7C">
                        <w:rPr>
                          <w:rFonts w:ascii="Calibri" w:hAnsi="Calibri" w:cs="Calibri"/>
                          <w:i/>
                          <w:iCs/>
                          <w:sz w:val="22"/>
                          <w:szCs w:val="22"/>
                        </w:rPr>
                        <w:t xml:space="preserve">,“ </w:t>
                      </w:r>
                      <w:bookmarkEnd w:id="7"/>
                      <w:r w:rsidR="00F520B3" w:rsidRPr="00F520B3">
                        <w:rPr>
                          <w:rFonts w:ascii="Calibri" w:hAnsi="Calibri" w:cs="Calibri"/>
                          <w:b/>
                          <w:bCs/>
                          <w:sz w:val="22"/>
                          <w:szCs w:val="22"/>
                        </w:rPr>
                        <w:t>uvádí Petr Gapko, hlavní ekonom Moneta Money Bank.</w:t>
                      </w:r>
                    </w:p>
                    <w:p w14:paraId="0B44AA3D" w14:textId="4CFA25BD" w:rsidR="00C16E21" w:rsidRPr="00A72DB7" w:rsidRDefault="00C16E21" w:rsidP="00C16E21">
                      <w:pPr>
                        <w:rPr>
                          <w:rFonts w:ascii="Calibri" w:hAnsi="Calibri" w:cs="Calibri"/>
                          <w:b/>
                          <w:bCs/>
                          <w:sz w:val="22"/>
                          <w:szCs w:val="22"/>
                        </w:rPr>
                      </w:pPr>
                    </w:p>
                  </w:txbxContent>
                </v:textbox>
                <w10:wrap type="topAndBottom" anchorx="margin"/>
              </v:rect>
            </w:pict>
          </mc:Fallback>
        </mc:AlternateContent>
      </w:r>
      <w:r w:rsidR="00106451" w:rsidRPr="00616069">
        <w:rPr>
          <w:rFonts w:ascii="Calibri" w:hAnsi="Calibri" w:cs="Calibri"/>
          <w:sz w:val="22"/>
          <w:szCs w:val="22"/>
        </w:rPr>
        <w:t>Banky a stavební spořitelny dle</w:t>
      </w:r>
      <w:r w:rsidR="00F852BE" w:rsidRPr="00616069">
        <w:rPr>
          <w:rFonts w:ascii="Calibri" w:hAnsi="Calibri" w:cs="Calibri"/>
          <w:sz w:val="22"/>
          <w:szCs w:val="22"/>
        </w:rPr>
        <w:t xml:space="preserve"> </w:t>
      </w:r>
      <w:r w:rsidR="00106451" w:rsidRPr="00616069">
        <w:rPr>
          <w:rFonts w:ascii="Calibri" w:hAnsi="Calibri" w:cs="Calibri"/>
          <w:b/>
          <w:bCs/>
          <w:sz w:val="22"/>
          <w:szCs w:val="22"/>
        </w:rPr>
        <w:t>ČBA Hypomonitoru</w:t>
      </w:r>
      <w:r w:rsidR="00106451" w:rsidRPr="00616069">
        <w:rPr>
          <w:rFonts w:ascii="Calibri" w:hAnsi="Calibri" w:cs="Calibri"/>
          <w:sz w:val="22"/>
          <w:szCs w:val="22"/>
        </w:rPr>
        <w:t xml:space="preserve"> poskytly domácnostem </w:t>
      </w:r>
      <w:r w:rsidR="00BC1D46" w:rsidRPr="00616069">
        <w:rPr>
          <w:rFonts w:ascii="Calibri" w:hAnsi="Calibri" w:cs="Calibri"/>
          <w:sz w:val="22"/>
          <w:szCs w:val="22"/>
        </w:rPr>
        <w:t>v</w:t>
      </w:r>
      <w:r w:rsidR="005746F6">
        <w:rPr>
          <w:rFonts w:ascii="Calibri" w:hAnsi="Calibri" w:cs="Calibri"/>
          <w:sz w:val="22"/>
          <w:szCs w:val="22"/>
        </w:rPr>
        <w:t> </w:t>
      </w:r>
      <w:r w:rsidR="00A81F02">
        <w:rPr>
          <w:rFonts w:ascii="Calibri" w:hAnsi="Calibri" w:cs="Calibri"/>
          <w:sz w:val="22"/>
          <w:szCs w:val="22"/>
        </w:rPr>
        <w:t>září</w:t>
      </w:r>
      <w:r w:rsidR="005746F6">
        <w:rPr>
          <w:rFonts w:ascii="Calibri" w:hAnsi="Calibri" w:cs="Calibri"/>
          <w:sz w:val="22"/>
          <w:szCs w:val="22"/>
        </w:rPr>
        <w:t xml:space="preserve"> </w:t>
      </w:r>
      <w:r w:rsidR="00106451" w:rsidRPr="00616069">
        <w:rPr>
          <w:rFonts w:ascii="Calibri" w:hAnsi="Calibri" w:cs="Calibri"/>
          <w:sz w:val="22"/>
          <w:szCs w:val="22"/>
        </w:rPr>
        <w:t>hypotéky v</w:t>
      </w:r>
      <w:r w:rsidR="00BE4444" w:rsidRPr="00616069">
        <w:rPr>
          <w:rFonts w:ascii="Calibri" w:hAnsi="Calibri" w:cs="Calibri"/>
          <w:sz w:val="22"/>
          <w:szCs w:val="22"/>
        </w:rPr>
        <w:t> </w:t>
      </w:r>
      <w:r w:rsidR="00106451" w:rsidRPr="00616069">
        <w:rPr>
          <w:rFonts w:ascii="Calibri" w:hAnsi="Calibri" w:cs="Calibri"/>
          <w:sz w:val="22"/>
          <w:szCs w:val="22"/>
        </w:rPr>
        <w:t>objemu</w:t>
      </w:r>
      <w:r w:rsidR="00BE4444" w:rsidRPr="00616069">
        <w:rPr>
          <w:rFonts w:ascii="Calibri" w:hAnsi="Calibri" w:cs="Calibri"/>
          <w:sz w:val="22"/>
          <w:szCs w:val="22"/>
        </w:rPr>
        <w:t xml:space="preserve"> </w:t>
      </w:r>
      <w:r w:rsidR="00A81F02">
        <w:rPr>
          <w:rFonts w:ascii="Calibri" w:hAnsi="Calibri" w:cs="Calibri"/>
          <w:b/>
          <w:bCs/>
          <w:sz w:val="22"/>
          <w:szCs w:val="22"/>
        </w:rPr>
        <w:t>24</w:t>
      </w:r>
      <w:r w:rsidR="00D0011E">
        <w:rPr>
          <w:rFonts w:ascii="Calibri" w:hAnsi="Calibri" w:cs="Calibri"/>
          <w:b/>
          <w:bCs/>
          <w:sz w:val="22"/>
          <w:szCs w:val="22"/>
        </w:rPr>
        <w:t>,</w:t>
      </w:r>
      <w:r w:rsidR="00A81F02">
        <w:rPr>
          <w:rFonts w:ascii="Calibri" w:hAnsi="Calibri" w:cs="Calibri"/>
          <w:b/>
          <w:bCs/>
          <w:sz w:val="22"/>
          <w:szCs w:val="22"/>
        </w:rPr>
        <w:t>2</w:t>
      </w:r>
      <w:r w:rsidR="00B230A8" w:rsidRPr="00616069">
        <w:rPr>
          <w:rFonts w:ascii="Calibri" w:hAnsi="Calibri" w:cs="Calibri"/>
          <w:b/>
          <w:bCs/>
          <w:sz w:val="22"/>
          <w:szCs w:val="22"/>
        </w:rPr>
        <w:t xml:space="preserve"> </w:t>
      </w:r>
      <w:r w:rsidR="00106451" w:rsidRPr="00616069">
        <w:rPr>
          <w:rFonts w:ascii="Calibri" w:hAnsi="Calibri" w:cs="Calibri"/>
          <w:b/>
          <w:bCs/>
          <w:sz w:val="22"/>
          <w:szCs w:val="22"/>
        </w:rPr>
        <w:t>mld. Kč</w:t>
      </w:r>
      <w:bookmarkEnd w:id="5"/>
      <w:r w:rsidR="00E84DC4" w:rsidRPr="00616069">
        <w:rPr>
          <w:rFonts w:ascii="Calibri" w:hAnsi="Calibri" w:cs="Calibri"/>
          <w:b/>
          <w:bCs/>
          <w:sz w:val="22"/>
          <w:szCs w:val="22"/>
        </w:rPr>
        <w:t>.</w:t>
      </w:r>
      <w:r w:rsidR="005746F6">
        <w:rPr>
          <w:rFonts w:ascii="Calibri" w:hAnsi="Calibri" w:cs="Calibri"/>
          <w:b/>
          <w:bCs/>
          <w:sz w:val="22"/>
          <w:szCs w:val="22"/>
        </w:rPr>
        <w:t xml:space="preserve"> </w:t>
      </w:r>
      <w:r w:rsidR="0056090E" w:rsidRPr="00616069">
        <w:rPr>
          <w:rFonts w:ascii="Calibri" w:hAnsi="Calibri" w:cs="Calibri"/>
          <w:b/>
          <w:bCs/>
          <w:sz w:val="22"/>
          <w:szCs w:val="22"/>
        </w:rPr>
        <w:t xml:space="preserve">Objem poskytnutých hypoték tak </w:t>
      </w:r>
      <w:r w:rsidR="008811FC" w:rsidRPr="00616069">
        <w:rPr>
          <w:rFonts w:ascii="Calibri" w:hAnsi="Calibri" w:cs="Calibri"/>
          <w:b/>
          <w:bCs/>
          <w:sz w:val="22"/>
          <w:szCs w:val="22"/>
        </w:rPr>
        <w:t>meziměsíčně</w:t>
      </w:r>
      <w:r>
        <w:rPr>
          <w:rFonts w:ascii="Calibri" w:hAnsi="Calibri" w:cs="Calibri"/>
          <w:b/>
          <w:bCs/>
          <w:sz w:val="22"/>
          <w:szCs w:val="22"/>
        </w:rPr>
        <w:t xml:space="preserve"> </w:t>
      </w:r>
      <w:r w:rsidR="00A81F02">
        <w:rPr>
          <w:rFonts w:ascii="Calibri" w:hAnsi="Calibri" w:cs="Calibri"/>
          <w:b/>
          <w:bCs/>
          <w:sz w:val="22"/>
          <w:szCs w:val="22"/>
        </w:rPr>
        <w:t>poklesl</w:t>
      </w:r>
      <w:r w:rsidR="004908DB">
        <w:rPr>
          <w:rFonts w:ascii="Calibri" w:hAnsi="Calibri" w:cs="Calibri"/>
          <w:b/>
          <w:bCs/>
          <w:sz w:val="22"/>
          <w:szCs w:val="22"/>
        </w:rPr>
        <w:t xml:space="preserve"> o silných</w:t>
      </w:r>
      <w:r w:rsidR="001259D2" w:rsidRPr="00616069">
        <w:rPr>
          <w:rFonts w:ascii="Calibri" w:hAnsi="Calibri" w:cs="Calibri"/>
          <w:b/>
          <w:bCs/>
          <w:sz w:val="22"/>
          <w:szCs w:val="22"/>
        </w:rPr>
        <w:t xml:space="preserve"> </w:t>
      </w:r>
      <w:r w:rsidR="004908DB">
        <w:rPr>
          <w:rFonts w:ascii="Calibri" w:hAnsi="Calibri" w:cs="Calibri"/>
          <w:b/>
          <w:bCs/>
          <w:sz w:val="22"/>
          <w:szCs w:val="22"/>
        </w:rPr>
        <w:t>8</w:t>
      </w:r>
      <w:r w:rsidR="00453473">
        <w:rPr>
          <w:rFonts w:ascii="Calibri" w:hAnsi="Calibri" w:cs="Calibri"/>
          <w:b/>
          <w:bCs/>
          <w:sz w:val="22"/>
          <w:szCs w:val="22"/>
        </w:rPr>
        <w:t>,</w:t>
      </w:r>
      <w:r w:rsidR="00A81F02">
        <w:rPr>
          <w:rFonts w:ascii="Calibri" w:hAnsi="Calibri" w:cs="Calibri"/>
          <w:b/>
          <w:bCs/>
          <w:sz w:val="22"/>
          <w:szCs w:val="22"/>
        </w:rPr>
        <w:t>1</w:t>
      </w:r>
      <w:r w:rsidR="00453473">
        <w:rPr>
          <w:rFonts w:ascii="Calibri" w:hAnsi="Calibri" w:cs="Calibri"/>
          <w:b/>
          <w:bCs/>
          <w:sz w:val="22"/>
          <w:szCs w:val="22"/>
        </w:rPr>
        <w:t xml:space="preserve"> mld. K</w:t>
      </w:r>
      <w:r w:rsidR="00A81F02">
        <w:rPr>
          <w:rFonts w:ascii="Calibri" w:hAnsi="Calibri" w:cs="Calibri"/>
          <w:b/>
          <w:bCs/>
          <w:sz w:val="22"/>
          <w:szCs w:val="22"/>
        </w:rPr>
        <w:t>č poté, co v srpnu o 8,6 mld. Kč vzrostl.</w:t>
      </w:r>
      <w:r>
        <w:rPr>
          <w:rFonts w:ascii="Calibri" w:hAnsi="Calibri" w:cs="Calibri"/>
          <w:b/>
          <w:bCs/>
          <w:sz w:val="22"/>
          <w:szCs w:val="22"/>
        </w:rPr>
        <w:t xml:space="preserve"> </w:t>
      </w:r>
      <w:r w:rsidR="00A81F02" w:rsidRPr="00896C06">
        <w:rPr>
          <w:rFonts w:ascii="Calibri" w:hAnsi="Calibri" w:cs="Calibri"/>
          <w:b/>
          <w:bCs/>
          <w:sz w:val="22"/>
          <w:szCs w:val="22"/>
        </w:rPr>
        <w:t>Jak ukazuje korekce zářijových čísel, s</w:t>
      </w:r>
      <w:r w:rsidR="004908DB" w:rsidRPr="00896C06">
        <w:rPr>
          <w:rFonts w:ascii="Calibri" w:hAnsi="Calibri" w:cs="Calibri"/>
          <w:b/>
          <w:bCs/>
          <w:sz w:val="22"/>
          <w:szCs w:val="22"/>
        </w:rPr>
        <w:t>rpnová aktivita</w:t>
      </w:r>
      <w:r w:rsidRPr="00896C06">
        <w:rPr>
          <w:rFonts w:ascii="Calibri" w:hAnsi="Calibri" w:cs="Calibri"/>
          <w:b/>
          <w:bCs/>
          <w:sz w:val="22"/>
          <w:szCs w:val="22"/>
        </w:rPr>
        <w:t xml:space="preserve"> na hypotečním </w:t>
      </w:r>
      <w:r w:rsidR="005F2075">
        <w:rPr>
          <w:rFonts w:ascii="Calibri" w:hAnsi="Calibri" w:cs="Calibri"/>
          <w:b/>
          <w:bCs/>
          <w:sz w:val="22"/>
          <w:szCs w:val="22"/>
        </w:rPr>
        <w:t xml:space="preserve">trhu </w:t>
      </w:r>
      <w:r w:rsidR="00A81F02" w:rsidRPr="00896C06">
        <w:rPr>
          <w:rFonts w:ascii="Calibri" w:hAnsi="Calibri" w:cs="Calibri"/>
          <w:b/>
          <w:bCs/>
          <w:sz w:val="22"/>
          <w:szCs w:val="22"/>
        </w:rPr>
        <w:t xml:space="preserve">byla do velké míry </w:t>
      </w:r>
      <w:bookmarkStart w:id="8" w:name="_Hlk119308385"/>
      <w:r w:rsidR="00C45097" w:rsidRPr="00896C06">
        <w:rPr>
          <w:rFonts w:ascii="Calibri" w:hAnsi="Calibri" w:cs="Calibri"/>
          <w:b/>
          <w:bCs/>
          <w:sz w:val="22"/>
          <w:szCs w:val="22"/>
        </w:rPr>
        <w:t>ovlivněn</w:t>
      </w:r>
      <w:r w:rsidR="00A81F02" w:rsidRPr="00896C06">
        <w:rPr>
          <w:rFonts w:ascii="Calibri" w:hAnsi="Calibri" w:cs="Calibri"/>
          <w:b/>
          <w:bCs/>
          <w:sz w:val="22"/>
          <w:szCs w:val="22"/>
        </w:rPr>
        <w:t>a</w:t>
      </w:r>
      <w:r w:rsidR="00C45097" w:rsidRPr="00896C06">
        <w:rPr>
          <w:rFonts w:ascii="Calibri" w:hAnsi="Calibri" w:cs="Calibri"/>
          <w:b/>
          <w:bCs/>
          <w:sz w:val="22"/>
          <w:szCs w:val="22"/>
        </w:rPr>
        <w:t xml:space="preserve"> změnou v zákoně o spotřebitelském úvěru, která</w:t>
      </w:r>
      <w:r w:rsidR="007435D3" w:rsidRPr="00896C06">
        <w:rPr>
          <w:rFonts w:ascii="Calibri" w:hAnsi="Calibri" w:cs="Calibri"/>
          <w:b/>
          <w:bCs/>
          <w:sz w:val="22"/>
          <w:szCs w:val="22"/>
        </w:rPr>
        <w:t xml:space="preserve"> </w:t>
      </w:r>
      <w:r w:rsidR="00E8112D" w:rsidRPr="00896C06">
        <w:rPr>
          <w:rFonts w:ascii="Calibri" w:hAnsi="Calibri" w:cs="Calibri"/>
          <w:b/>
          <w:bCs/>
          <w:sz w:val="22"/>
          <w:szCs w:val="22"/>
        </w:rPr>
        <w:t>řadu domácností</w:t>
      </w:r>
      <w:r w:rsidR="007435D3" w:rsidRPr="00896C06">
        <w:rPr>
          <w:rFonts w:ascii="Calibri" w:hAnsi="Calibri" w:cs="Calibri"/>
          <w:b/>
          <w:bCs/>
          <w:sz w:val="22"/>
          <w:szCs w:val="22"/>
        </w:rPr>
        <w:t xml:space="preserve"> v</w:t>
      </w:r>
      <w:r w:rsidR="00A81F02" w:rsidRPr="00896C06">
        <w:rPr>
          <w:rFonts w:ascii="Calibri" w:hAnsi="Calibri" w:cs="Calibri"/>
          <w:b/>
          <w:bCs/>
          <w:sz w:val="22"/>
          <w:szCs w:val="22"/>
        </w:rPr>
        <w:t>edla</w:t>
      </w:r>
      <w:r w:rsidR="007435D3" w:rsidRPr="00896C06">
        <w:rPr>
          <w:rFonts w:ascii="Calibri" w:hAnsi="Calibri" w:cs="Calibri"/>
          <w:b/>
          <w:bCs/>
          <w:sz w:val="22"/>
          <w:szCs w:val="22"/>
        </w:rPr>
        <w:t xml:space="preserve"> ke snaze uzavřít</w:t>
      </w:r>
      <w:r w:rsidR="00E8112D" w:rsidRPr="00896C06">
        <w:rPr>
          <w:rFonts w:ascii="Calibri" w:hAnsi="Calibri" w:cs="Calibri"/>
          <w:b/>
          <w:bCs/>
          <w:sz w:val="22"/>
          <w:szCs w:val="22"/>
        </w:rPr>
        <w:t xml:space="preserve"> či refinancovat </w:t>
      </w:r>
      <w:r w:rsidR="007435D3" w:rsidRPr="00896C06">
        <w:rPr>
          <w:rFonts w:ascii="Calibri" w:hAnsi="Calibri" w:cs="Calibri"/>
          <w:b/>
          <w:bCs/>
          <w:sz w:val="22"/>
          <w:szCs w:val="22"/>
        </w:rPr>
        <w:t xml:space="preserve">hypoteční smlouvu ještě za </w:t>
      </w:r>
      <w:r w:rsidR="00E8112D" w:rsidRPr="00896C06">
        <w:rPr>
          <w:rFonts w:ascii="Calibri" w:hAnsi="Calibri" w:cs="Calibri"/>
          <w:b/>
          <w:bCs/>
          <w:sz w:val="22"/>
          <w:szCs w:val="22"/>
        </w:rPr>
        <w:t xml:space="preserve">původních </w:t>
      </w:r>
      <w:r w:rsidR="007435D3" w:rsidRPr="00896C06">
        <w:rPr>
          <w:rFonts w:ascii="Calibri" w:hAnsi="Calibri" w:cs="Calibri"/>
          <w:b/>
          <w:bCs/>
          <w:sz w:val="22"/>
          <w:szCs w:val="22"/>
        </w:rPr>
        <w:t>podmínek</w:t>
      </w:r>
      <w:r w:rsidR="00F538EF" w:rsidRPr="00896C06">
        <w:rPr>
          <w:rFonts w:ascii="Calibri" w:hAnsi="Calibri" w:cs="Calibri"/>
          <w:b/>
          <w:bCs/>
          <w:sz w:val="22"/>
          <w:szCs w:val="22"/>
        </w:rPr>
        <w:t xml:space="preserve"> v průběhu sr</w:t>
      </w:r>
      <w:r w:rsidR="00E8112D" w:rsidRPr="00896C06">
        <w:rPr>
          <w:rFonts w:ascii="Calibri" w:hAnsi="Calibri" w:cs="Calibri"/>
          <w:b/>
          <w:bCs/>
          <w:sz w:val="22"/>
          <w:szCs w:val="22"/>
        </w:rPr>
        <w:t>p</w:t>
      </w:r>
      <w:r w:rsidR="00F538EF" w:rsidRPr="00896C06">
        <w:rPr>
          <w:rFonts w:ascii="Calibri" w:hAnsi="Calibri" w:cs="Calibri"/>
          <w:b/>
          <w:bCs/>
          <w:sz w:val="22"/>
          <w:szCs w:val="22"/>
        </w:rPr>
        <w:t>na</w:t>
      </w:r>
      <w:r w:rsidR="007435D3" w:rsidRPr="00896C06">
        <w:rPr>
          <w:rFonts w:ascii="Calibri" w:hAnsi="Calibri" w:cs="Calibri"/>
          <w:b/>
          <w:bCs/>
          <w:sz w:val="22"/>
          <w:szCs w:val="22"/>
        </w:rPr>
        <w:t>.</w:t>
      </w:r>
      <w:r w:rsidR="00C45097">
        <w:rPr>
          <w:rFonts w:ascii="Calibri" w:hAnsi="Calibri" w:cs="Calibri"/>
          <w:sz w:val="22"/>
          <w:szCs w:val="22"/>
        </w:rPr>
        <w:t xml:space="preserve"> </w:t>
      </w:r>
      <w:r w:rsidR="00A81F02">
        <w:rPr>
          <w:rFonts w:ascii="Calibri" w:hAnsi="Calibri" w:cs="Calibri"/>
          <w:sz w:val="22"/>
          <w:szCs w:val="22"/>
        </w:rPr>
        <w:t xml:space="preserve">Zářijové hodnoty se tak dostaly zpět na hodnoty běžné před srpnovým mimořádným růstem. </w:t>
      </w:r>
      <w:r w:rsidR="00C45097" w:rsidRPr="00C45097">
        <w:rPr>
          <w:rFonts w:ascii="Calibri" w:hAnsi="Calibri" w:cs="Calibri"/>
          <w:b/>
          <w:bCs/>
          <w:sz w:val="22"/>
          <w:szCs w:val="22"/>
        </w:rPr>
        <w:t>M</w:t>
      </w:r>
      <w:r>
        <w:rPr>
          <w:rFonts w:ascii="Calibri" w:hAnsi="Calibri" w:cs="Calibri"/>
          <w:b/>
          <w:bCs/>
          <w:sz w:val="22"/>
          <w:szCs w:val="22"/>
        </w:rPr>
        <w:t>eziroční růst</w:t>
      </w:r>
      <w:r w:rsidR="007435D3">
        <w:rPr>
          <w:rFonts w:ascii="Calibri" w:hAnsi="Calibri" w:cs="Calibri"/>
          <w:b/>
          <w:bCs/>
          <w:sz w:val="22"/>
          <w:szCs w:val="22"/>
        </w:rPr>
        <w:t xml:space="preserve"> objemu</w:t>
      </w:r>
      <w:r w:rsidR="00E8112D">
        <w:rPr>
          <w:rFonts w:ascii="Calibri" w:hAnsi="Calibri" w:cs="Calibri"/>
          <w:b/>
          <w:bCs/>
          <w:sz w:val="22"/>
          <w:szCs w:val="22"/>
        </w:rPr>
        <w:t xml:space="preserve"> poskytnutých hypoték</w:t>
      </w:r>
      <w:r w:rsidR="007435D3">
        <w:rPr>
          <w:rFonts w:ascii="Calibri" w:hAnsi="Calibri" w:cs="Calibri"/>
          <w:b/>
          <w:bCs/>
          <w:sz w:val="22"/>
          <w:szCs w:val="22"/>
        </w:rPr>
        <w:t xml:space="preserve"> </w:t>
      </w:r>
      <w:r w:rsidR="00896C06">
        <w:rPr>
          <w:rFonts w:ascii="Calibri" w:hAnsi="Calibri" w:cs="Calibri"/>
          <w:b/>
          <w:bCs/>
          <w:sz w:val="22"/>
          <w:szCs w:val="22"/>
        </w:rPr>
        <w:t xml:space="preserve">dosáhl 78,5 % po 130 % v srpnu. </w:t>
      </w:r>
      <w:bookmarkEnd w:id="8"/>
      <w:r w:rsidR="00C562B4">
        <w:rPr>
          <w:rFonts w:ascii="Calibri" w:hAnsi="Calibri" w:cs="Calibri"/>
          <w:b/>
          <w:bCs/>
          <w:sz w:val="22"/>
          <w:szCs w:val="22"/>
        </w:rPr>
        <w:t xml:space="preserve">Od ledna do </w:t>
      </w:r>
      <w:r w:rsidR="00896C06">
        <w:rPr>
          <w:rFonts w:ascii="Calibri" w:hAnsi="Calibri" w:cs="Calibri"/>
          <w:b/>
          <w:bCs/>
          <w:sz w:val="22"/>
          <w:szCs w:val="22"/>
        </w:rPr>
        <w:t xml:space="preserve">září </w:t>
      </w:r>
      <w:r w:rsidR="00C562B4">
        <w:rPr>
          <w:rFonts w:ascii="Calibri" w:hAnsi="Calibri" w:cs="Calibri"/>
          <w:b/>
          <w:bCs/>
          <w:sz w:val="22"/>
          <w:szCs w:val="22"/>
        </w:rPr>
        <w:t xml:space="preserve">objem poskytnutých hypoték </w:t>
      </w:r>
      <w:r w:rsidR="00896C06">
        <w:rPr>
          <w:rFonts w:ascii="Calibri" w:hAnsi="Calibri" w:cs="Calibri"/>
          <w:b/>
          <w:bCs/>
          <w:sz w:val="22"/>
          <w:szCs w:val="22"/>
        </w:rPr>
        <w:t>přesáhl 90 %</w:t>
      </w:r>
      <w:r w:rsidR="00C562B4">
        <w:rPr>
          <w:rFonts w:ascii="Calibri" w:hAnsi="Calibri" w:cs="Calibri"/>
          <w:b/>
          <w:bCs/>
          <w:sz w:val="22"/>
          <w:szCs w:val="22"/>
        </w:rPr>
        <w:t>,</w:t>
      </w:r>
      <w:r w:rsidR="00E8112D">
        <w:rPr>
          <w:rFonts w:ascii="Calibri" w:hAnsi="Calibri" w:cs="Calibri"/>
          <w:b/>
          <w:bCs/>
          <w:sz w:val="22"/>
          <w:szCs w:val="22"/>
        </w:rPr>
        <w:t xml:space="preserve"> </w:t>
      </w:r>
      <w:r w:rsidR="00C562B4">
        <w:rPr>
          <w:rFonts w:ascii="Calibri" w:hAnsi="Calibri" w:cs="Calibri"/>
          <w:b/>
          <w:bCs/>
          <w:sz w:val="22"/>
          <w:szCs w:val="22"/>
        </w:rPr>
        <w:t>počet poskytnutých hypoték</w:t>
      </w:r>
      <w:r w:rsidR="00896C06">
        <w:rPr>
          <w:rFonts w:ascii="Calibri" w:hAnsi="Calibri" w:cs="Calibri"/>
          <w:b/>
          <w:bCs/>
          <w:sz w:val="22"/>
          <w:szCs w:val="22"/>
        </w:rPr>
        <w:t xml:space="preserve"> pak necelých </w:t>
      </w:r>
      <w:r w:rsidR="00C562B4">
        <w:rPr>
          <w:rFonts w:ascii="Calibri" w:hAnsi="Calibri" w:cs="Calibri"/>
          <w:b/>
          <w:bCs/>
          <w:sz w:val="22"/>
          <w:szCs w:val="22"/>
        </w:rPr>
        <w:t>60 %.</w:t>
      </w:r>
    </w:p>
    <w:p w14:paraId="4EC5E4E2" w14:textId="77777777" w:rsidR="00C562B4" w:rsidRDefault="00C562B4" w:rsidP="00E908C6">
      <w:pPr>
        <w:spacing w:after="120"/>
        <w:rPr>
          <w:rFonts w:ascii="Calibri" w:hAnsi="Calibri" w:cs="Calibri"/>
          <w:b/>
          <w:color w:val="13576B"/>
          <w:sz w:val="23"/>
          <w:szCs w:val="23"/>
        </w:rPr>
      </w:pPr>
      <w:bookmarkStart w:id="9" w:name="_Hlk119308742"/>
    </w:p>
    <w:p w14:paraId="124D2D31" w14:textId="34C9285F" w:rsidR="00F61FFC" w:rsidRPr="00616069" w:rsidRDefault="006E04F7" w:rsidP="00E908C6">
      <w:pPr>
        <w:spacing w:after="120"/>
        <w:rPr>
          <w:rFonts w:ascii="Calibri" w:hAnsi="Calibri" w:cs="Calibri"/>
          <w:b/>
          <w:color w:val="13576B"/>
          <w:sz w:val="23"/>
          <w:szCs w:val="23"/>
        </w:rPr>
      </w:pPr>
      <w:r w:rsidRPr="00616069">
        <w:rPr>
          <w:rFonts w:ascii="Calibri" w:hAnsi="Calibri" w:cs="Calibri"/>
          <w:b/>
          <w:color w:val="13576B"/>
          <w:sz w:val="23"/>
          <w:szCs w:val="23"/>
        </w:rPr>
        <w:t>Tabulka č. 1: Shrnutí objemu poskytnutých hypoték a průměrných úrokových sazeb za</w:t>
      </w:r>
      <w:r w:rsidR="003E393C" w:rsidRPr="00616069">
        <w:rPr>
          <w:rFonts w:ascii="Calibri" w:hAnsi="Calibri" w:cs="Calibri"/>
          <w:b/>
          <w:color w:val="13576B"/>
          <w:sz w:val="23"/>
          <w:szCs w:val="23"/>
        </w:rPr>
        <w:t xml:space="preserve"> </w:t>
      </w:r>
      <w:r w:rsidR="00DE4BD0">
        <w:rPr>
          <w:rFonts w:ascii="Calibri" w:hAnsi="Calibri" w:cs="Calibri"/>
          <w:b/>
          <w:color w:val="13576B"/>
          <w:sz w:val="23"/>
          <w:szCs w:val="23"/>
        </w:rPr>
        <w:t>září</w:t>
      </w:r>
      <w:r w:rsidR="000F0342">
        <w:rPr>
          <w:rFonts w:ascii="Calibri" w:hAnsi="Calibri" w:cs="Calibri"/>
          <w:b/>
          <w:color w:val="13576B"/>
          <w:sz w:val="23"/>
          <w:szCs w:val="23"/>
        </w:rPr>
        <w:t xml:space="preserve"> </w:t>
      </w:r>
      <w:r w:rsidRPr="00616069">
        <w:rPr>
          <w:rFonts w:ascii="Calibri" w:hAnsi="Calibri" w:cs="Calibri"/>
          <w:b/>
          <w:color w:val="13576B"/>
          <w:sz w:val="23"/>
          <w:szCs w:val="23"/>
        </w:rPr>
        <w:t>202</w:t>
      </w:r>
      <w:r w:rsidR="003E393C" w:rsidRPr="00616069">
        <w:rPr>
          <w:rFonts w:ascii="Calibri" w:hAnsi="Calibri" w:cs="Calibri"/>
          <w:b/>
          <w:color w:val="13576B"/>
          <w:sz w:val="23"/>
          <w:szCs w:val="23"/>
        </w:rPr>
        <w:t>4</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616069"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77777777" w:rsidR="006E04F7" w:rsidRPr="00616069" w:rsidRDefault="006E04F7" w:rsidP="00356809">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Objem</w:t>
            </w:r>
            <w:r w:rsidRPr="0061606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Sazba</w:t>
            </w:r>
            <w:r w:rsidRPr="00616069">
              <w:rPr>
                <w:rFonts w:ascii="Calibri Light" w:hAnsi="Calibri Light" w:cs="Calibri Light"/>
                <w:b/>
                <w:bCs/>
                <w:color w:val="13576B"/>
                <w:sz w:val="22"/>
                <w:szCs w:val="22"/>
              </w:rPr>
              <w:br/>
              <w:t xml:space="preserve"> (%)</w:t>
            </w:r>
          </w:p>
        </w:tc>
      </w:tr>
      <w:tr w:rsidR="006E04F7" w:rsidRPr="00616069"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DE4BD0" w:rsidRPr="00616069"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77777777" w:rsidR="00DE4BD0" w:rsidRPr="00616069" w:rsidRDefault="00DE4BD0" w:rsidP="00DE4BD0">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7E957CDD" w:rsidR="00DE4BD0" w:rsidRPr="00616069"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24,2</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1CAE0BBA"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6 713</w:t>
            </w:r>
          </w:p>
        </w:tc>
        <w:tc>
          <w:tcPr>
            <w:tcW w:w="960" w:type="dxa"/>
            <w:tcBorders>
              <w:top w:val="nil"/>
              <w:left w:val="nil"/>
              <w:bottom w:val="single" w:sz="4" w:space="0" w:color="auto"/>
              <w:right w:val="nil"/>
            </w:tcBorders>
            <w:shd w:val="clear" w:color="000000" w:fill="FFFFFF"/>
            <w:noWrap/>
            <w:vAlign w:val="center"/>
            <w:hideMark/>
          </w:tcPr>
          <w:p w14:paraId="25688592" w14:textId="170551BF"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4,94</w:t>
            </w:r>
          </w:p>
        </w:tc>
      </w:tr>
      <w:tr w:rsidR="00DE4BD0" w:rsidRPr="00616069"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DE4BD0" w:rsidRPr="00616069" w:rsidRDefault="00DE4BD0" w:rsidP="00DE4BD0">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0C2ADDE1" w:rsidR="00DE4BD0" w:rsidRPr="00231F3A"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19,7</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0009DC50" w:rsidR="00DE4BD0" w:rsidRPr="00231F3A"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5 232</w:t>
            </w:r>
          </w:p>
        </w:tc>
        <w:tc>
          <w:tcPr>
            <w:tcW w:w="960" w:type="dxa"/>
            <w:tcBorders>
              <w:top w:val="single" w:sz="4" w:space="0" w:color="auto"/>
              <w:left w:val="nil"/>
              <w:bottom w:val="nil"/>
              <w:right w:val="nil"/>
            </w:tcBorders>
            <w:shd w:val="solid" w:color="DAF3EA" w:fill="C1F7E9"/>
            <w:noWrap/>
            <w:vAlign w:val="center"/>
            <w:hideMark/>
          </w:tcPr>
          <w:p w14:paraId="5B0C0248" w14:textId="7764B3F7" w:rsidR="00DE4BD0" w:rsidRPr="00231F3A"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4,96</w:t>
            </w:r>
          </w:p>
        </w:tc>
      </w:tr>
      <w:tr w:rsidR="00DE4BD0" w:rsidRPr="00616069"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DE4BD0" w:rsidRPr="00616069" w:rsidRDefault="00DE4BD0" w:rsidP="00DE4BD0">
            <w:pPr>
              <w:overflowPunct/>
              <w:autoSpaceDE/>
              <w:autoSpaceDN/>
              <w:adjustRightInd/>
              <w:ind w:firstLineChars="200" w:firstLine="44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151D8203"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3C455CC6"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729C9CAE"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DE4BD0" w:rsidRPr="00616069"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7777777" w:rsidR="00DE4BD0" w:rsidRPr="00616069" w:rsidRDefault="00DE4BD0" w:rsidP="00DE4BD0">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0A1F7A81"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15,8</w:t>
            </w:r>
          </w:p>
        </w:tc>
        <w:tc>
          <w:tcPr>
            <w:tcW w:w="960" w:type="dxa"/>
            <w:tcBorders>
              <w:top w:val="nil"/>
              <w:left w:val="nil"/>
              <w:bottom w:val="nil"/>
              <w:right w:val="single" w:sz="4" w:space="0" w:color="auto"/>
            </w:tcBorders>
            <w:shd w:val="clear" w:color="000000" w:fill="FFFFFF"/>
            <w:noWrap/>
            <w:vAlign w:val="center"/>
            <w:hideMark/>
          </w:tcPr>
          <w:p w14:paraId="1F9B5019" w14:textId="44E5EEF0"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4 087</w:t>
            </w:r>
          </w:p>
        </w:tc>
        <w:tc>
          <w:tcPr>
            <w:tcW w:w="960" w:type="dxa"/>
            <w:tcBorders>
              <w:top w:val="nil"/>
              <w:left w:val="nil"/>
              <w:bottom w:val="nil"/>
              <w:right w:val="nil"/>
            </w:tcBorders>
            <w:shd w:val="clear" w:color="000000" w:fill="FFFFFF"/>
            <w:noWrap/>
            <w:vAlign w:val="center"/>
            <w:hideMark/>
          </w:tcPr>
          <w:p w14:paraId="245CA2C7" w14:textId="6FA0EBA6"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4,94</w:t>
            </w:r>
          </w:p>
        </w:tc>
      </w:tr>
      <w:tr w:rsidR="00DE4BD0" w:rsidRPr="00616069"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77777777" w:rsidR="00DE4BD0" w:rsidRPr="00616069" w:rsidRDefault="00DE4BD0" w:rsidP="00DE4BD0">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5F562BD5"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2,9</w:t>
            </w:r>
          </w:p>
        </w:tc>
        <w:tc>
          <w:tcPr>
            <w:tcW w:w="960" w:type="dxa"/>
            <w:tcBorders>
              <w:top w:val="nil"/>
              <w:left w:val="nil"/>
              <w:bottom w:val="nil"/>
              <w:right w:val="single" w:sz="4" w:space="0" w:color="auto"/>
            </w:tcBorders>
            <w:shd w:val="clear" w:color="000000" w:fill="FFFFFF"/>
            <w:noWrap/>
            <w:vAlign w:val="center"/>
            <w:hideMark/>
          </w:tcPr>
          <w:p w14:paraId="2BEC2F1D" w14:textId="5F7C77C8"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823</w:t>
            </w:r>
          </w:p>
        </w:tc>
        <w:tc>
          <w:tcPr>
            <w:tcW w:w="960" w:type="dxa"/>
            <w:tcBorders>
              <w:top w:val="nil"/>
              <w:left w:val="nil"/>
              <w:bottom w:val="nil"/>
              <w:right w:val="nil"/>
            </w:tcBorders>
            <w:shd w:val="clear" w:color="000000" w:fill="FFFFFF"/>
            <w:noWrap/>
            <w:vAlign w:val="center"/>
            <w:hideMark/>
          </w:tcPr>
          <w:p w14:paraId="1ED8392A" w14:textId="31337985"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4,94</w:t>
            </w:r>
          </w:p>
        </w:tc>
      </w:tr>
      <w:tr w:rsidR="00DE4BD0" w:rsidRPr="00616069"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77777777" w:rsidR="00DE4BD0" w:rsidRPr="00616069" w:rsidRDefault="00DE4BD0" w:rsidP="00DE4BD0">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3AB86CBB"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49B84F82"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322</w:t>
            </w:r>
          </w:p>
        </w:tc>
        <w:tc>
          <w:tcPr>
            <w:tcW w:w="960" w:type="dxa"/>
            <w:tcBorders>
              <w:top w:val="nil"/>
              <w:left w:val="nil"/>
              <w:bottom w:val="single" w:sz="4" w:space="0" w:color="auto"/>
              <w:right w:val="nil"/>
            </w:tcBorders>
            <w:shd w:val="clear" w:color="000000" w:fill="FFFFFF"/>
            <w:noWrap/>
            <w:vAlign w:val="center"/>
            <w:hideMark/>
          </w:tcPr>
          <w:p w14:paraId="2CAA1522" w14:textId="61D9DEC3"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5,22</w:t>
            </w:r>
          </w:p>
        </w:tc>
      </w:tr>
      <w:tr w:rsidR="00DE4BD0" w:rsidRPr="00616069"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DE4BD0" w:rsidRPr="00616069" w:rsidRDefault="00DE4BD0" w:rsidP="00DE4BD0">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09E7FC2B" w:rsidR="00DE4BD0" w:rsidRPr="00616069"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3,7</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5939266B"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1 194</w:t>
            </w:r>
          </w:p>
        </w:tc>
        <w:tc>
          <w:tcPr>
            <w:tcW w:w="960" w:type="dxa"/>
            <w:tcBorders>
              <w:top w:val="nil"/>
              <w:left w:val="nil"/>
              <w:bottom w:val="single" w:sz="4" w:space="0" w:color="auto"/>
              <w:right w:val="nil"/>
            </w:tcBorders>
            <w:shd w:val="clear" w:color="000000" w:fill="FFFFFF"/>
            <w:noWrap/>
            <w:vAlign w:val="center"/>
            <w:hideMark/>
          </w:tcPr>
          <w:p w14:paraId="2F210A95" w14:textId="579FEA2B" w:rsidR="00DE4BD0" w:rsidRPr="00616069"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4,86</w:t>
            </w:r>
          </w:p>
        </w:tc>
      </w:tr>
      <w:tr w:rsidR="00DE4BD0" w:rsidRPr="00616069"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7777777" w:rsidR="00DE4BD0" w:rsidRPr="00616069" w:rsidRDefault="00DE4BD0" w:rsidP="00DE4BD0">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424E259F" w:rsidR="00DE4BD0" w:rsidRPr="00616069"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0,9</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1F25C6C8"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287</w:t>
            </w:r>
          </w:p>
        </w:tc>
        <w:tc>
          <w:tcPr>
            <w:tcW w:w="960" w:type="dxa"/>
            <w:tcBorders>
              <w:top w:val="nil"/>
              <w:left w:val="nil"/>
              <w:bottom w:val="single" w:sz="4" w:space="0" w:color="auto"/>
              <w:right w:val="nil"/>
            </w:tcBorders>
            <w:shd w:val="clear" w:color="000000" w:fill="FFFFFF"/>
            <w:noWrap/>
            <w:vAlign w:val="center"/>
            <w:hideMark/>
          </w:tcPr>
          <w:p w14:paraId="473AFF57" w14:textId="47602E21" w:rsidR="00DE4BD0" w:rsidRPr="00616069" w:rsidRDefault="00DE4BD0" w:rsidP="00DE4BD0">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4,87</w:t>
            </w:r>
          </w:p>
        </w:tc>
      </w:tr>
      <w:tr w:rsidR="006E04F7" w:rsidRPr="00616069"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77777777" w:rsidR="006E04F7" w:rsidRPr="00616069" w:rsidRDefault="006E04F7" w:rsidP="00356809">
            <w:pPr>
              <w:overflowPunct/>
              <w:autoSpaceDE/>
              <w:autoSpaceDN/>
              <w:adjustRightInd/>
              <w:jc w:val="left"/>
              <w:textAlignment w:val="auto"/>
              <w:rPr>
                <w:rFonts w:ascii="Calibri Light" w:hAnsi="Calibri Light" w:cs="Calibri Light"/>
                <w:color w:val="13576B"/>
                <w:sz w:val="20"/>
              </w:rPr>
            </w:pPr>
            <w:r w:rsidRPr="00616069">
              <w:rPr>
                <w:rFonts w:ascii="Calibri Light" w:hAnsi="Calibri Light" w:cs="Calibri Light"/>
                <w:color w:val="13576B"/>
                <w:sz w:val="20"/>
              </w:rPr>
              <w:t>Pramen: ČBA Hypomonitor</w:t>
            </w:r>
          </w:p>
        </w:tc>
        <w:tc>
          <w:tcPr>
            <w:tcW w:w="1101" w:type="dxa"/>
            <w:tcBorders>
              <w:top w:val="nil"/>
              <w:left w:val="nil"/>
              <w:bottom w:val="nil"/>
              <w:right w:val="nil"/>
            </w:tcBorders>
            <w:shd w:val="clear" w:color="000000" w:fill="FFFFFF"/>
            <w:noWrap/>
            <w:vAlign w:val="bottom"/>
            <w:hideMark/>
          </w:tcPr>
          <w:p w14:paraId="01E541C2"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r>
    </w:tbl>
    <w:p w14:paraId="21076DCA" w14:textId="359F8E4B" w:rsidR="006E04F7" w:rsidRPr="00616069" w:rsidRDefault="006E04F7" w:rsidP="00863D31">
      <w:pPr>
        <w:rPr>
          <w:rFonts w:ascii="Calibri" w:hAnsi="Calibri" w:cs="Calibri"/>
          <w:b/>
          <w:bCs/>
          <w:sz w:val="22"/>
          <w:szCs w:val="22"/>
        </w:rPr>
      </w:pPr>
    </w:p>
    <w:p w14:paraId="27BA4ADE" w14:textId="73A27183" w:rsidR="00237E0B" w:rsidRPr="00616069" w:rsidRDefault="00942AD5" w:rsidP="00237E0B">
      <w:pPr>
        <w:spacing w:before="120" w:after="120"/>
        <w:rPr>
          <w:rFonts w:ascii="Calibri" w:hAnsi="Calibri" w:cs="Calibri"/>
          <w:sz w:val="22"/>
          <w:szCs w:val="22"/>
        </w:rPr>
      </w:pPr>
      <w:r w:rsidRPr="00616069">
        <w:rPr>
          <w:rFonts w:ascii="Calibri" w:hAnsi="Calibri" w:cs="Calibri"/>
          <w:noProof/>
          <w:sz w:val="22"/>
          <w:szCs w:val="22"/>
        </w:rPr>
        <w:lastRenderedPageBreak/>
        <mc:AlternateContent>
          <mc:Choice Requires="wps">
            <w:drawing>
              <wp:anchor distT="0" distB="0" distL="114300" distR="114300" simplePos="0" relativeHeight="251678720" behindDoc="0" locked="0" layoutInCell="1" allowOverlap="1" wp14:anchorId="4A3D2F1B" wp14:editId="38195490">
                <wp:simplePos x="0" y="0"/>
                <wp:positionH relativeFrom="margin">
                  <wp:posOffset>-78105</wp:posOffset>
                </wp:positionH>
                <wp:positionV relativeFrom="paragraph">
                  <wp:posOffset>1104502</wp:posOffset>
                </wp:positionV>
                <wp:extent cx="6519545" cy="940435"/>
                <wp:effectExtent l="0" t="0" r="14605" b="12065"/>
                <wp:wrapTopAndBottom/>
                <wp:docPr id="870128156" name="Rectangle 1"/>
                <wp:cNvGraphicFramePr/>
                <a:graphic xmlns:a="http://schemas.openxmlformats.org/drawingml/2006/main">
                  <a:graphicData uri="http://schemas.microsoft.com/office/word/2010/wordprocessingShape">
                    <wps:wsp>
                      <wps:cNvSpPr/>
                      <wps:spPr>
                        <a:xfrm>
                          <a:off x="0" y="0"/>
                          <a:ext cx="6519545" cy="94043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F8AD9" w14:textId="58713944" w:rsidR="000E087A" w:rsidRPr="00143BF5" w:rsidRDefault="00F520B3" w:rsidP="000E087A">
                            <w:pPr>
                              <w:rPr>
                                <w:b/>
                                <w:bCs/>
                              </w:rPr>
                            </w:pPr>
                            <w:bookmarkStart w:id="10" w:name="_Hlk179448141"/>
                            <w:bookmarkStart w:id="11" w:name="_Hlk179448142"/>
                            <w:r>
                              <w:rPr>
                                <w:rFonts w:ascii="Calibri" w:eastAsia="Calibri" w:hAnsi="Calibri" w:cs="Calibri"/>
                                <w:i/>
                                <w:iCs/>
                                <w:sz w:val="22"/>
                                <w:szCs w:val="22"/>
                              </w:rPr>
                              <w:t>„</w:t>
                            </w:r>
                            <w:r w:rsidRPr="00F520B3">
                              <w:rPr>
                                <w:rFonts w:ascii="Calibri" w:eastAsia="Calibri" w:hAnsi="Calibri" w:cs="Calibri"/>
                                <w:i/>
                                <w:iCs/>
                                <w:sz w:val="22"/>
                                <w:szCs w:val="22"/>
                              </w:rPr>
                              <w:t>V srpnu banky zaznamenaly významnější poptávku po hypotečních úvěrech. Vzhledem k faktu, že od 1. 9. 2024 vstoupil</w:t>
                            </w:r>
                            <w:r>
                              <w:rPr>
                                <w:rFonts w:ascii="Calibri" w:eastAsia="Calibri" w:hAnsi="Calibri" w:cs="Calibri"/>
                                <w:i/>
                                <w:iCs/>
                                <w:sz w:val="22"/>
                                <w:szCs w:val="22"/>
                              </w:rPr>
                              <w:t>a</w:t>
                            </w:r>
                            <w:r w:rsidRPr="00F520B3">
                              <w:rPr>
                                <w:rFonts w:ascii="Calibri" w:eastAsia="Calibri" w:hAnsi="Calibri" w:cs="Calibri"/>
                                <w:i/>
                                <w:iCs/>
                                <w:sz w:val="22"/>
                                <w:szCs w:val="22"/>
                              </w:rPr>
                              <w:t xml:space="preserve"> v platnost nov</w:t>
                            </w:r>
                            <w:r>
                              <w:rPr>
                                <w:rFonts w:ascii="Calibri" w:eastAsia="Calibri" w:hAnsi="Calibri" w:cs="Calibri"/>
                                <w:i/>
                                <w:iCs/>
                                <w:sz w:val="22"/>
                                <w:szCs w:val="22"/>
                              </w:rPr>
                              <w:t>ela</w:t>
                            </w:r>
                            <w:r w:rsidRPr="00F520B3">
                              <w:rPr>
                                <w:rFonts w:ascii="Calibri" w:eastAsia="Calibri" w:hAnsi="Calibri" w:cs="Calibri"/>
                                <w:i/>
                                <w:iCs/>
                                <w:sz w:val="22"/>
                                <w:szCs w:val="22"/>
                              </w:rPr>
                              <w:t xml:space="preserve"> zákon</w:t>
                            </w:r>
                            <w:r>
                              <w:rPr>
                                <w:rFonts w:ascii="Calibri" w:eastAsia="Calibri" w:hAnsi="Calibri" w:cs="Calibri"/>
                                <w:i/>
                                <w:iCs/>
                                <w:sz w:val="22"/>
                                <w:szCs w:val="22"/>
                              </w:rPr>
                              <w:t>a</w:t>
                            </w:r>
                            <w:r w:rsidRPr="00F520B3">
                              <w:rPr>
                                <w:rFonts w:ascii="Calibri" w:eastAsia="Calibri" w:hAnsi="Calibri" w:cs="Calibri"/>
                                <w:i/>
                                <w:iCs/>
                                <w:sz w:val="22"/>
                                <w:szCs w:val="22"/>
                              </w:rPr>
                              <w:t xml:space="preserve"> </w:t>
                            </w:r>
                            <w:r>
                              <w:rPr>
                                <w:rFonts w:ascii="Calibri" w:eastAsia="Calibri" w:hAnsi="Calibri" w:cs="Calibri"/>
                                <w:i/>
                                <w:iCs/>
                                <w:sz w:val="22"/>
                                <w:szCs w:val="22"/>
                              </w:rPr>
                              <w:t>upravující úč</w:t>
                            </w:r>
                            <w:r w:rsidRPr="00F520B3">
                              <w:rPr>
                                <w:rFonts w:ascii="Calibri" w:eastAsia="Calibri" w:hAnsi="Calibri" w:cs="Calibri"/>
                                <w:i/>
                                <w:iCs/>
                                <w:sz w:val="22"/>
                                <w:szCs w:val="22"/>
                              </w:rPr>
                              <w:t>elně vynaložen</w:t>
                            </w:r>
                            <w:r>
                              <w:rPr>
                                <w:rFonts w:ascii="Calibri" w:eastAsia="Calibri" w:hAnsi="Calibri" w:cs="Calibri"/>
                                <w:i/>
                                <w:iCs/>
                                <w:sz w:val="22"/>
                                <w:szCs w:val="22"/>
                              </w:rPr>
                              <w:t>é</w:t>
                            </w:r>
                            <w:r w:rsidRPr="00F520B3">
                              <w:rPr>
                                <w:rFonts w:ascii="Calibri" w:eastAsia="Calibri" w:hAnsi="Calibri" w:cs="Calibri"/>
                                <w:i/>
                                <w:iCs/>
                                <w:sz w:val="22"/>
                                <w:szCs w:val="22"/>
                              </w:rPr>
                              <w:t xml:space="preserve"> náklad</w:t>
                            </w:r>
                            <w:r>
                              <w:rPr>
                                <w:rFonts w:ascii="Calibri" w:eastAsia="Calibri" w:hAnsi="Calibri" w:cs="Calibri"/>
                                <w:i/>
                                <w:iCs/>
                                <w:sz w:val="22"/>
                                <w:szCs w:val="22"/>
                              </w:rPr>
                              <w:t xml:space="preserve">y, </w:t>
                            </w:r>
                            <w:r w:rsidRPr="00F520B3">
                              <w:rPr>
                                <w:rFonts w:ascii="Calibri" w:eastAsia="Calibri" w:hAnsi="Calibri" w:cs="Calibri"/>
                                <w:i/>
                                <w:iCs/>
                                <w:sz w:val="22"/>
                                <w:szCs w:val="22"/>
                              </w:rPr>
                              <w:t>je zřejmé, že se klienti hypotékami předzásobili, aby na ně vztahovaly staré podmínky v případě předčasného splacení. Navzdory poklesu objemů v září vnímáme, že zájem o hypotéky na trhu narůstá</w:t>
                            </w:r>
                            <w:r w:rsidR="00143BF5" w:rsidRPr="00143BF5">
                              <w:rPr>
                                <w:rFonts w:ascii="Calibri" w:eastAsia="Calibri" w:hAnsi="Calibri" w:cs="Calibri"/>
                                <w:sz w:val="22"/>
                                <w:szCs w:val="22"/>
                              </w:rPr>
                              <w:t>,“</w:t>
                            </w:r>
                            <w:r>
                              <w:rPr>
                                <w:rFonts w:ascii="Calibri" w:eastAsia="Calibri" w:hAnsi="Calibri" w:cs="Calibri"/>
                                <w:sz w:val="22"/>
                                <w:szCs w:val="22"/>
                              </w:rPr>
                              <w:t xml:space="preserve"> </w:t>
                            </w:r>
                            <w:r w:rsidRPr="00F520B3">
                              <w:rPr>
                                <w:rFonts w:ascii="Calibri" w:eastAsia="Calibri" w:hAnsi="Calibri" w:cs="Calibri"/>
                                <w:b/>
                                <w:bCs/>
                                <w:sz w:val="22"/>
                                <w:szCs w:val="22"/>
                              </w:rPr>
                              <w:t>říká</w:t>
                            </w:r>
                            <w:r w:rsidR="00143BF5" w:rsidRPr="00143BF5">
                              <w:rPr>
                                <w:rFonts w:ascii="Calibri" w:eastAsia="Calibri" w:hAnsi="Calibri" w:cs="Calibri"/>
                                <w:sz w:val="22"/>
                                <w:szCs w:val="22"/>
                              </w:rPr>
                              <w:t xml:space="preserve"> </w:t>
                            </w:r>
                            <w:r w:rsidRPr="00F520B3">
                              <w:rPr>
                                <w:rFonts w:ascii="Calibri" w:eastAsia="Calibri" w:hAnsi="Calibri" w:cs="Calibri"/>
                                <w:b/>
                                <w:bCs/>
                                <w:sz w:val="22"/>
                                <w:szCs w:val="22"/>
                              </w:rPr>
                              <w:t>Soňa Holíková, manažerka pro hypoteční úvěry mBank</w:t>
                            </w:r>
                            <w:r>
                              <w:rPr>
                                <w:rFonts w:ascii="Calibri" w:eastAsia="Calibri" w:hAnsi="Calibri" w:cs="Calibri"/>
                                <w:b/>
                                <w:bCs/>
                                <w:sz w:val="22"/>
                                <w:szCs w:val="22"/>
                              </w:rPr>
                              <w:t>.</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7" style="position:absolute;left:0;text-align:left;margin-left:-6.15pt;margin-top:86.95pt;width:513.35pt;height:74.0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" fillcolor="white [3201]" strokecolor="black [3213]" strokeweight=".5pt">
                <v:textbox>
                  <w:txbxContent>
                    <w:p w14:paraId="6D0F8AD9" w14:textId="58713944" w:rsidR="000E087A" w:rsidRPr="00143BF5" w:rsidRDefault="00F520B3" w:rsidP="000E087A">
                      <w:pPr>
                        <w:rPr>
                          <w:b/>
                          <w:bCs/>
                        </w:rPr>
                      </w:pPr>
                      <w:bookmarkStart w:id="12" w:name="_Hlk179448141"/>
                      <w:bookmarkStart w:id="13" w:name="_Hlk179448142"/>
                      <w:r>
                        <w:rPr>
                          <w:rFonts w:ascii="Calibri" w:eastAsia="Calibri" w:hAnsi="Calibri" w:cs="Calibri"/>
                          <w:i/>
                          <w:iCs/>
                          <w:sz w:val="22"/>
                          <w:szCs w:val="22"/>
                        </w:rPr>
                        <w:t>„</w:t>
                      </w:r>
                      <w:r w:rsidRPr="00F520B3">
                        <w:rPr>
                          <w:rFonts w:ascii="Calibri" w:eastAsia="Calibri" w:hAnsi="Calibri" w:cs="Calibri"/>
                          <w:i/>
                          <w:iCs/>
                          <w:sz w:val="22"/>
                          <w:szCs w:val="22"/>
                        </w:rPr>
                        <w:t>V srpnu banky zaznamenaly významnější poptávku po hypotečních úvěrech. Vzhledem k faktu, že od 1. 9. 2024 vstoupil</w:t>
                      </w:r>
                      <w:r>
                        <w:rPr>
                          <w:rFonts w:ascii="Calibri" w:eastAsia="Calibri" w:hAnsi="Calibri" w:cs="Calibri"/>
                          <w:i/>
                          <w:iCs/>
                          <w:sz w:val="22"/>
                          <w:szCs w:val="22"/>
                        </w:rPr>
                        <w:t>a</w:t>
                      </w:r>
                      <w:r w:rsidRPr="00F520B3">
                        <w:rPr>
                          <w:rFonts w:ascii="Calibri" w:eastAsia="Calibri" w:hAnsi="Calibri" w:cs="Calibri"/>
                          <w:i/>
                          <w:iCs/>
                          <w:sz w:val="22"/>
                          <w:szCs w:val="22"/>
                        </w:rPr>
                        <w:t xml:space="preserve"> v platnost nov</w:t>
                      </w:r>
                      <w:r>
                        <w:rPr>
                          <w:rFonts w:ascii="Calibri" w:eastAsia="Calibri" w:hAnsi="Calibri" w:cs="Calibri"/>
                          <w:i/>
                          <w:iCs/>
                          <w:sz w:val="22"/>
                          <w:szCs w:val="22"/>
                        </w:rPr>
                        <w:t>ela</w:t>
                      </w:r>
                      <w:r w:rsidRPr="00F520B3">
                        <w:rPr>
                          <w:rFonts w:ascii="Calibri" w:eastAsia="Calibri" w:hAnsi="Calibri" w:cs="Calibri"/>
                          <w:i/>
                          <w:iCs/>
                          <w:sz w:val="22"/>
                          <w:szCs w:val="22"/>
                        </w:rPr>
                        <w:t xml:space="preserve"> zákon</w:t>
                      </w:r>
                      <w:r>
                        <w:rPr>
                          <w:rFonts w:ascii="Calibri" w:eastAsia="Calibri" w:hAnsi="Calibri" w:cs="Calibri"/>
                          <w:i/>
                          <w:iCs/>
                          <w:sz w:val="22"/>
                          <w:szCs w:val="22"/>
                        </w:rPr>
                        <w:t>a</w:t>
                      </w:r>
                      <w:r w:rsidRPr="00F520B3">
                        <w:rPr>
                          <w:rFonts w:ascii="Calibri" w:eastAsia="Calibri" w:hAnsi="Calibri" w:cs="Calibri"/>
                          <w:i/>
                          <w:iCs/>
                          <w:sz w:val="22"/>
                          <w:szCs w:val="22"/>
                        </w:rPr>
                        <w:t xml:space="preserve"> </w:t>
                      </w:r>
                      <w:r>
                        <w:rPr>
                          <w:rFonts w:ascii="Calibri" w:eastAsia="Calibri" w:hAnsi="Calibri" w:cs="Calibri"/>
                          <w:i/>
                          <w:iCs/>
                          <w:sz w:val="22"/>
                          <w:szCs w:val="22"/>
                        </w:rPr>
                        <w:t>upravující úč</w:t>
                      </w:r>
                      <w:r w:rsidRPr="00F520B3">
                        <w:rPr>
                          <w:rFonts w:ascii="Calibri" w:eastAsia="Calibri" w:hAnsi="Calibri" w:cs="Calibri"/>
                          <w:i/>
                          <w:iCs/>
                          <w:sz w:val="22"/>
                          <w:szCs w:val="22"/>
                        </w:rPr>
                        <w:t>elně vynaložen</w:t>
                      </w:r>
                      <w:r>
                        <w:rPr>
                          <w:rFonts w:ascii="Calibri" w:eastAsia="Calibri" w:hAnsi="Calibri" w:cs="Calibri"/>
                          <w:i/>
                          <w:iCs/>
                          <w:sz w:val="22"/>
                          <w:szCs w:val="22"/>
                        </w:rPr>
                        <w:t>é</w:t>
                      </w:r>
                      <w:r w:rsidRPr="00F520B3">
                        <w:rPr>
                          <w:rFonts w:ascii="Calibri" w:eastAsia="Calibri" w:hAnsi="Calibri" w:cs="Calibri"/>
                          <w:i/>
                          <w:iCs/>
                          <w:sz w:val="22"/>
                          <w:szCs w:val="22"/>
                        </w:rPr>
                        <w:t xml:space="preserve"> náklad</w:t>
                      </w:r>
                      <w:r>
                        <w:rPr>
                          <w:rFonts w:ascii="Calibri" w:eastAsia="Calibri" w:hAnsi="Calibri" w:cs="Calibri"/>
                          <w:i/>
                          <w:iCs/>
                          <w:sz w:val="22"/>
                          <w:szCs w:val="22"/>
                        </w:rPr>
                        <w:t xml:space="preserve">y, </w:t>
                      </w:r>
                      <w:r w:rsidRPr="00F520B3">
                        <w:rPr>
                          <w:rFonts w:ascii="Calibri" w:eastAsia="Calibri" w:hAnsi="Calibri" w:cs="Calibri"/>
                          <w:i/>
                          <w:iCs/>
                          <w:sz w:val="22"/>
                          <w:szCs w:val="22"/>
                        </w:rPr>
                        <w:t>je zřejmé, že se klienti hypotékami předzásobili, aby na ně vztahovaly staré podmínky v případě předčasného splacení. Navzdory poklesu objemů v září vnímáme, že zájem o hypotéky na trhu narůstá</w:t>
                      </w:r>
                      <w:r w:rsidR="00143BF5" w:rsidRPr="00143BF5">
                        <w:rPr>
                          <w:rFonts w:ascii="Calibri" w:eastAsia="Calibri" w:hAnsi="Calibri" w:cs="Calibri"/>
                          <w:sz w:val="22"/>
                          <w:szCs w:val="22"/>
                        </w:rPr>
                        <w:t>,“</w:t>
                      </w:r>
                      <w:r>
                        <w:rPr>
                          <w:rFonts w:ascii="Calibri" w:eastAsia="Calibri" w:hAnsi="Calibri" w:cs="Calibri"/>
                          <w:sz w:val="22"/>
                          <w:szCs w:val="22"/>
                        </w:rPr>
                        <w:t xml:space="preserve"> </w:t>
                      </w:r>
                      <w:r w:rsidRPr="00F520B3">
                        <w:rPr>
                          <w:rFonts w:ascii="Calibri" w:eastAsia="Calibri" w:hAnsi="Calibri" w:cs="Calibri"/>
                          <w:b/>
                          <w:bCs/>
                          <w:sz w:val="22"/>
                          <w:szCs w:val="22"/>
                        </w:rPr>
                        <w:t>říká</w:t>
                      </w:r>
                      <w:r w:rsidR="00143BF5" w:rsidRPr="00143BF5">
                        <w:rPr>
                          <w:rFonts w:ascii="Calibri" w:eastAsia="Calibri" w:hAnsi="Calibri" w:cs="Calibri"/>
                          <w:sz w:val="22"/>
                          <w:szCs w:val="22"/>
                        </w:rPr>
                        <w:t xml:space="preserve"> </w:t>
                      </w:r>
                      <w:r w:rsidRPr="00F520B3">
                        <w:rPr>
                          <w:rFonts w:ascii="Calibri" w:eastAsia="Calibri" w:hAnsi="Calibri" w:cs="Calibri"/>
                          <w:b/>
                          <w:bCs/>
                          <w:sz w:val="22"/>
                          <w:szCs w:val="22"/>
                        </w:rPr>
                        <w:t>Soňa Holíková, manažerka pro hypoteční úvěry mBank</w:t>
                      </w:r>
                      <w:r>
                        <w:rPr>
                          <w:rFonts w:ascii="Calibri" w:eastAsia="Calibri" w:hAnsi="Calibri" w:cs="Calibri"/>
                          <w:b/>
                          <w:bCs/>
                          <w:sz w:val="22"/>
                          <w:szCs w:val="22"/>
                        </w:rPr>
                        <w:t>.</w:t>
                      </w:r>
                      <w:bookmarkEnd w:id="12"/>
                      <w:bookmarkEnd w:id="13"/>
                    </w:p>
                  </w:txbxContent>
                </v:textbox>
                <w10:wrap type="topAndBottom" anchorx="margin"/>
              </v:rect>
            </w:pict>
          </mc:Fallback>
        </mc:AlternateContent>
      </w:r>
      <w:r w:rsidR="00412A2D">
        <w:rPr>
          <w:rFonts w:ascii="Calibri" w:hAnsi="Calibri" w:cs="Calibri"/>
          <w:b/>
          <w:bCs/>
          <w:sz w:val="22"/>
          <w:szCs w:val="22"/>
        </w:rPr>
        <w:t>O</w:t>
      </w:r>
      <w:r w:rsidR="00237E0B" w:rsidRPr="00616069">
        <w:rPr>
          <w:rFonts w:ascii="Calibri" w:hAnsi="Calibri" w:cs="Calibri"/>
          <w:b/>
          <w:bCs/>
          <w:sz w:val="22"/>
          <w:szCs w:val="22"/>
        </w:rPr>
        <w:t>bjem skutečně nově poskytnutých hypoték bez refinancování v</w:t>
      </w:r>
      <w:r w:rsidR="00F06185">
        <w:rPr>
          <w:rFonts w:ascii="Calibri" w:hAnsi="Calibri" w:cs="Calibri"/>
          <w:b/>
          <w:bCs/>
          <w:sz w:val="22"/>
          <w:szCs w:val="22"/>
        </w:rPr>
        <w:t> </w:t>
      </w:r>
      <w:r w:rsidR="00E74759">
        <w:rPr>
          <w:rFonts w:ascii="Calibri" w:hAnsi="Calibri" w:cs="Calibri"/>
          <w:b/>
          <w:bCs/>
          <w:sz w:val="22"/>
          <w:szCs w:val="22"/>
        </w:rPr>
        <w:t>září</w:t>
      </w:r>
      <w:r w:rsidR="00F06185">
        <w:rPr>
          <w:rFonts w:ascii="Calibri" w:hAnsi="Calibri" w:cs="Calibri"/>
          <w:b/>
          <w:bCs/>
          <w:sz w:val="22"/>
          <w:szCs w:val="22"/>
        </w:rPr>
        <w:t xml:space="preserve"> </w:t>
      </w:r>
      <w:r w:rsidR="00237E0B" w:rsidRPr="00616069">
        <w:rPr>
          <w:rFonts w:ascii="Calibri" w:hAnsi="Calibri" w:cs="Calibri"/>
          <w:b/>
          <w:bCs/>
          <w:sz w:val="22"/>
          <w:szCs w:val="22"/>
        </w:rPr>
        <w:t xml:space="preserve">dosáhl </w:t>
      </w:r>
      <w:r w:rsidR="00E74759">
        <w:rPr>
          <w:rFonts w:ascii="Calibri" w:hAnsi="Calibri" w:cs="Calibri"/>
          <w:b/>
          <w:bCs/>
          <w:sz w:val="22"/>
          <w:szCs w:val="22"/>
        </w:rPr>
        <w:t>19</w:t>
      </w:r>
      <w:r w:rsidR="00352D4E">
        <w:rPr>
          <w:rFonts w:ascii="Calibri" w:hAnsi="Calibri" w:cs="Calibri"/>
          <w:b/>
          <w:bCs/>
          <w:sz w:val="22"/>
          <w:szCs w:val="22"/>
        </w:rPr>
        <w:t>,</w:t>
      </w:r>
      <w:r w:rsidR="007435D3">
        <w:rPr>
          <w:rFonts w:ascii="Calibri" w:hAnsi="Calibri" w:cs="Calibri"/>
          <w:b/>
          <w:bCs/>
          <w:sz w:val="22"/>
          <w:szCs w:val="22"/>
        </w:rPr>
        <w:t>7</w:t>
      </w:r>
      <w:r w:rsidR="00237E0B" w:rsidRPr="00616069">
        <w:rPr>
          <w:rFonts w:ascii="Calibri" w:hAnsi="Calibri" w:cs="Calibri"/>
          <w:b/>
          <w:bCs/>
          <w:sz w:val="22"/>
          <w:szCs w:val="22"/>
        </w:rPr>
        <w:t xml:space="preserve"> mld. K</w:t>
      </w:r>
      <w:r w:rsidR="00944CB3">
        <w:rPr>
          <w:rFonts w:ascii="Calibri" w:hAnsi="Calibri" w:cs="Calibri"/>
          <w:b/>
          <w:bCs/>
          <w:sz w:val="22"/>
          <w:szCs w:val="22"/>
        </w:rPr>
        <w:t>č</w:t>
      </w:r>
      <w:r w:rsidR="00D24E61">
        <w:rPr>
          <w:rFonts w:ascii="Calibri" w:hAnsi="Calibri" w:cs="Calibri"/>
          <w:b/>
          <w:bCs/>
          <w:sz w:val="22"/>
          <w:szCs w:val="22"/>
        </w:rPr>
        <w:t>.</w:t>
      </w:r>
      <w:r w:rsidR="00F06185">
        <w:rPr>
          <w:rFonts w:ascii="Calibri" w:hAnsi="Calibri" w:cs="Calibri"/>
          <w:b/>
          <w:bCs/>
          <w:sz w:val="22"/>
          <w:szCs w:val="22"/>
        </w:rPr>
        <w:t xml:space="preserve"> Meziměsíčně se </w:t>
      </w:r>
      <w:r w:rsidR="007435D3">
        <w:rPr>
          <w:rFonts w:ascii="Calibri" w:hAnsi="Calibri" w:cs="Calibri"/>
          <w:b/>
          <w:bCs/>
          <w:sz w:val="22"/>
          <w:szCs w:val="22"/>
        </w:rPr>
        <w:t xml:space="preserve">tak </w:t>
      </w:r>
      <w:r w:rsidR="00F06185">
        <w:rPr>
          <w:rFonts w:ascii="Calibri" w:hAnsi="Calibri" w:cs="Calibri"/>
          <w:b/>
          <w:bCs/>
          <w:sz w:val="22"/>
          <w:szCs w:val="22"/>
        </w:rPr>
        <w:t xml:space="preserve">objem </w:t>
      </w:r>
      <w:r w:rsidR="00E74759">
        <w:rPr>
          <w:rFonts w:ascii="Calibri" w:hAnsi="Calibri" w:cs="Calibri"/>
          <w:b/>
          <w:bCs/>
          <w:sz w:val="22"/>
          <w:szCs w:val="22"/>
        </w:rPr>
        <w:t xml:space="preserve">snížil o 6 mld. Kč, tj. o stejnou výši, jako v srpnu meziměsíčně vzrostl. </w:t>
      </w:r>
      <w:r w:rsidR="00237E0B" w:rsidRPr="00616069">
        <w:rPr>
          <w:rFonts w:ascii="Calibri" w:hAnsi="Calibri" w:cs="Calibri"/>
          <w:b/>
          <w:bCs/>
          <w:sz w:val="22"/>
          <w:szCs w:val="22"/>
        </w:rPr>
        <w:t xml:space="preserve">Počet nově poskytnutých hypoték dosáhl </w:t>
      </w:r>
      <w:r w:rsidR="00E74759">
        <w:rPr>
          <w:rFonts w:ascii="Calibri" w:hAnsi="Calibri" w:cs="Calibri"/>
          <w:b/>
          <w:bCs/>
          <w:sz w:val="22"/>
          <w:szCs w:val="22"/>
        </w:rPr>
        <w:t>5 232</w:t>
      </w:r>
      <w:r w:rsidR="003E0FC6">
        <w:rPr>
          <w:rFonts w:ascii="Calibri" w:hAnsi="Calibri" w:cs="Calibri"/>
          <w:b/>
          <w:bCs/>
          <w:sz w:val="22"/>
          <w:szCs w:val="22"/>
        </w:rPr>
        <w:t>,</w:t>
      </w:r>
      <w:r w:rsidR="00BE5DF3">
        <w:rPr>
          <w:rFonts w:ascii="Calibri" w:hAnsi="Calibri" w:cs="Calibri"/>
          <w:b/>
          <w:bCs/>
          <w:sz w:val="22"/>
          <w:szCs w:val="22"/>
        </w:rPr>
        <w:t xml:space="preserve"> což </w:t>
      </w:r>
      <w:r w:rsidR="00E74759">
        <w:rPr>
          <w:rFonts w:ascii="Calibri" w:hAnsi="Calibri" w:cs="Calibri"/>
          <w:b/>
          <w:bCs/>
          <w:sz w:val="22"/>
          <w:szCs w:val="22"/>
        </w:rPr>
        <w:t>je obdobná hodnota jako v</w:t>
      </w:r>
      <w:r w:rsidR="00CB0D84">
        <w:rPr>
          <w:rFonts w:ascii="Calibri" w:hAnsi="Calibri" w:cs="Calibri"/>
          <w:b/>
          <w:bCs/>
          <w:sz w:val="22"/>
          <w:szCs w:val="22"/>
        </w:rPr>
        <w:t> </w:t>
      </w:r>
      <w:r w:rsidR="00E74759">
        <w:rPr>
          <w:rFonts w:ascii="Calibri" w:hAnsi="Calibri" w:cs="Calibri"/>
          <w:b/>
          <w:bCs/>
          <w:sz w:val="22"/>
          <w:szCs w:val="22"/>
        </w:rPr>
        <w:t>červenci</w:t>
      </w:r>
      <w:r w:rsidR="00CB0D84">
        <w:rPr>
          <w:rFonts w:ascii="Calibri" w:hAnsi="Calibri" w:cs="Calibri"/>
          <w:b/>
          <w:bCs/>
          <w:sz w:val="22"/>
          <w:szCs w:val="22"/>
        </w:rPr>
        <w:t xml:space="preserve">, </w:t>
      </w:r>
      <w:r w:rsidR="00CB0D84" w:rsidRPr="00CB0D84">
        <w:rPr>
          <w:rFonts w:ascii="Calibri" w:hAnsi="Calibri" w:cs="Calibri"/>
          <w:sz w:val="22"/>
          <w:szCs w:val="22"/>
        </w:rPr>
        <w:t>oproti srpnu jde však o 20% pokles</w:t>
      </w:r>
      <w:r w:rsidR="00CB0D84">
        <w:rPr>
          <w:rFonts w:ascii="Calibri" w:hAnsi="Calibri" w:cs="Calibri"/>
          <w:b/>
          <w:bCs/>
          <w:sz w:val="22"/>
          <w:szCs w:val="22"/>
        </w:rPr>
        <w:t>.</w:t>
      </w:r>
      <w:r w:rsidR="0055785D">
        <w:rPr>
          <w:rFonts w:ascii="Calibri" w:hAnsi="Calibri" w:cs="Calibri"/>
          <w:b/>
          <w:bCs/>
          <w:sz w:val="22"/>
          <w:szCs w:val="22"/>
        </w:rPr>
        <w:t xml:space="preserve"> </w:t>
      </w:r>
      <w:r w:rsidR="00E74759" w:rsidRPr="00E74759">
        <w:rPr>
          <w:rFonts w:ascii="Calibri" w:hAnsi="Calibri" w:cs="Calibri"/>
          <w:sz w:val="22"/>
          <w:szCs w:val="22"/>
        </w:rPr>
        <w:t xml:space="preserve">Rovněž </w:t>
      </w:r>
      <w:r w:rsidR="00E74759">
        <w:rPr>
          <w:rFonts w:ascii="Calibri" w:hAnsi="Calibri" w:cs="Calibri"/>
          <w:sz w:val="22"/>
          <w:szCs w:val="22"/>
        </w:rPr>
        <w:t>o</w:t>
      </w:r>
      <w:r w:rsidR="00655662" w:rsidRPr="00616069">
        <w:rPr>
          <w:rFonts w:ascii="Calibri" w:hAnsi="Calibri" w:cs="Calibri"/>
          <w:sz w:val="22"/>
          <w:szCs w:val="22"/>
        </w:rPr>
        <w:t xml:space="preserve">bjem refinancovaných úvěrů (interně či z jiné instituce) </w:t>
      </w:r>
      <w:r w:rsidR="00655662">
        <w:rPr>
          <w:rFonts w:ascii="Calibri" w:hAnsi="Calibri" w:cs="Calibri"/>
          <w:sz w:val="22"/>
          <w:szCs w:val="22"/>
        </w:rPr>
        <w:t>se p</w:t>
      </w:r>
      <w:r w:rsidR="00E74759">
        <w:rPr>
          <w:rFonts w:ascii="Calibri" w:hAnsi="Calibri" w:cs="Calibri"/>
          <w:sz w:val="22"/>
          <w:szCs w:val="22"/>
        </w:rPr>
        <w:t>o jednorázovém srpnovém růstu snížil, ačkoli setrval mírně nad úrovní z června či července (4,6 mld. Kč</w:t>
      </w:r>
      <w:r w:rsidR="00CB0D84">
        <w:rPr>
          <w:rFonts w:ascii="Calibri" w:hAnsi="Calibri" w:cs="Calibri"/>
          <w:sz w:val="22"/>
          <w:szCs w:val="22"/>
        </w:rPr>
        <w:t xml:space="preserve"> v září</w:t>
      </w:r>
      <w:r w:rsidR="00E74759">
        <w:rPr>
          <w:rFonts w:ascii="Calibri" w:hAnsi="Calibri" w:cs="Calibri"/>
          <w:sz w:val="22"/>
          <w:szCs w:val="22"/>
        </w:rPr>
        <w:t xml:space="preserve"> oproti 6</w:t>
      </w:r>
      <w:r w:rsidR="00FD66DD">
        <w:rPr>
          <w:rFonts w:ascii="Calibri" w:hAnsi="Calibri" w:cs="Calibri"/>
          <w:sz w:val="22"/>
          <w:szCs w:val="22"/>
        </w:rPr>
        <w:t>,</w:t>
      </w:r>
      <w:r w:rsidR="00E74759">
        <w:rPr>
          <w:rFonts w:ascii="Calibri" w:hAnsi="Calibri" w:cs="Calibri"/>
          <w:sz w:val="22"/>
          <w:szCs w:val="22"/>
        </w:rPr>
        <w:t xml:space="preserve">7 mld. Kč v srpnu). </w:t>
      </w:r>
      <w:r w:rsidR="00655662" w:rsidRPr="00616069">
        <w:rPr>
          <w:rFonts w:ascii="Calibri" w:hAnsi="Calibri" w:cs="Calibri"/>
          <w:sz w:val="22"/>
          <w:szCs w:val="22"/>
        </w:rPr>
        <w:t xml:space="preserve">Podíl refinancovaných úvěrů na celkovém objemu poskytnutých hypoték </w:t>
      </w:r>
      <w:r w:rsidR="00655662">
        <w:rPr>
          <w:rFonts w:ascii="Calibri" w:hAnsi="Calibri" w:cs="Calibri"/>
          <w:sz w:val="22"/>
          <w:szCs w:val="22"/>
        </w:rPr>
        <w:t xml:space="preserve">se </w:t>
      </w:r>
      <w:r w:rsidR="00E74759">
        <w:rPr>
          <w:rFonts w:ascii="Calibri" w:hAnsi="Calibri" w:cs="Calibri"/>
          <w:sz w:val="22"/>
          <w:szCs w:val="22"/>
        </w:rPr>
        <w:t xml:space="preserve">snížil ze srpnových </w:t>
      </w:r>
      <w:r w:rsidR="00655662">
        <w:rPr>
          <w:rFonts w:ascii="Calibri" w:hAnsi="Calibri" w:cs="Calibri"/>
          <w:sz w:val="22"/>
          <w:szCs w:val="22"/>
        </w:rPr>
        <w:t>20,7 %</w:t>
      </w:r>
      <w:r w:rsidR="00E74759">
        <w:rPr>
          <w:rFonts w:ascii="Calibri" w:hAnsi="Calibri" w:cs="Calibri"/>
          <w:sz w:val="22"/>
          <w:szCs w:val="22"/>
        </w:rPr>
        <w:t xml:space="preserve"> na 18,8 %.</w:t>
      </w:r>
    </w:p>
    <w:bookmarkEnd w:id="1"/>
    <w:bookmarkEnd w:id="4"/>
    <w:bookmarkEnd w:id="9"/>
    <w:p w14:paraId="1E57F713" w14:textId="77777777" w:rsidR="00B233EC" w:rsidRDefault="00B233EC" w:rsidP="00A72C93">
      <w:pPr>
        <w:rPr>
          <w:rFonts w:ascii="Calibri" w:hAnsi="Calibri" w:cs="Calibri"/>
          <w:b/>
          <w:color w:val="13576B"/>
          <w:sz w:val="23"/>
          <w:szCs w:val="23"/>
        </w:rPr>
      </w:pPr>
    </w:p>
    <w:p w14:paraId="7AE0CCC0" w14:textId="23B48B09" w:rsidR="00A72C93" w:rsidRPr="00616069" w:rsidRDefault="0000363D" w:rsidP="00A72C93">
      <w:pPr>
        <w:rPr>
          <w:rFonts w:ascii="Calibri" w:hAnsi="Calibri" w:cs="Calibri"/>
          <w:b/>
          <w:color w:val="13576B"/>
          <w:sz w:val="23"/>
          <w:szCs w:val="23"/>
        </w:rPr>
      </w:pPr>
      <w:r w:rsidRPr="00616069">
        <w:rPr>
          <w:rFonts w:ascii="Calibri" w:hAnsi="Calibri" w:cs="Calibri"/>
          <w:b/>
          <w:color w:val="13576B"/>
          <w:sz w:val="23"/>
          <w:szCs w:val="23"/>
        </w:rPr>
        <w:t>Průměrná hypoteční sazba</w:t>
      </w:r>
      <w:r w:rsidR="001102C6" w:rsidRPr="00616069">
        <w:rPr>
          <w:rFonts w:ascii="Calibri" w:hAnsi="Calibri" w:cs="Calibri"/>
          <w:b/>
          <w:color w:val="13576B"/>
          <w:sz w:val="23"/>
          <w:szCs w:val="23"/>
        </w:rPr>
        <w:t xml:space="preserve"> </w:t>
      </w:r>
      <w:r w:rsidR="007435D3">
        <w:rPr>
          <w:rFonts w:ascii="Calibri" w:hAnsi="Calibri" w:cs="Calibri"/>
          <w:b/>
          <w:color w:val="13576B"/>
          <w:sz w:val="23"/>
          <w:szCs w:val="23"/>
        </w:rPr>
        <w:t xml:space="preserve">se </w:t>
      </w:r>
      <w:r w:rsidR="00E74759">
        <w:rPr>
          <w:rFonts w:ascii="Calibri" w:hAnsi="Calibri" w:cs="Calibri"/>
          <w:b/>
          <w:color w:val="13576B"/>
          <w:sz w:val="23"/>
          <w:szCs w:val="23"/>
        </w:rPr>
        <w:t>kosmeticky</w:t>
      </w:r>
      <w:r w:rsidR="007435D3">
        <w:rPr>
          <w:rFonts w:ascii="Calibri" w:hAnsi="Calibri" w:cs="Calibri"/>
          <w:b/>
          <w:color w:val="13576B"/>
          <w:sz w:val="23"/>
          <w:szCs w:val="23"/>
        </w:rPr>
        <w:t xml:space="preserve"> snížila</w:t>
      </w:r>
      <w:r w:rsidR="0055785D">
        <w:rPr>
          <w:rFonts w:ascii="Calibri" w:hAnsi="Calibri" w:cs="Calibri"/>
          <w:b/>
          <w:color w:val="13576B"/>
          <w:sz w:val="23"/>
          <w:szCs w:val="23"/>
        </w:rPr>
        <w:t xml:space="preserve"> </w:t>
      </w:r>
    </w:p>
    <w:p w14:paraId="6602F780" w14:textId="3C1BD192" w:rsidR="00836C3B" w:rsidRPr="00616069" w:rsidRDefault="0001227F" w:rsidP="007826E0">
      <w:pPr>
        <w:rPr>
          <w:rFonts w:ascii="Calibri" w:hAnsi="Calibri" w:cs="Calibri"/>
          <w:sz w:val="22"/>
          <w:szCs w:val="22"/>
        </w:rPr>
      </w:pPr>
      <w:bookmarkStart w:id="14" w:name="_Hlk119309111"/>
      <w:r w:rsidRPr="00616069">
        <w:rPr>
          <w:rFonts w:ascii="Calibri" w:hAnsi="Calibri" w:cs="Calibri"/>
          <w:b/>
          <w:bCs/>
          <w:sz w:val="22"/>
          <w:szCs w:val="22"/>
        </w:rPr>
        <w:t>Úroková sazba u </w:t>
      </w:r>
      <w:r w:rsidR="00BD532D" w:rsidRPr="00616069">
        <w:rPr>
          <w:rFonts w:ascii="Calibri" w:hAnsi="Calibri" w:cs="Calibri"/>
          <w:b/>
          <w:bCs/>
          <w:sz w:val="22"/>
          <w:szCs w:val="22"/>
        </w:rPr>
        <w:t xml:space="preserve">skutečně </w:t>
      </w:r>
      <w:r w:rsidRPr="00616069">
        <w:rPr>
          <w:rFonts w:ascii="Calibri" w:hAnsi="Calibri" w:cs="Calibri"/>
          <w:b/>
          <w:bCs/>
          <w:sz w:val="22"/>
          <w:szCs w:val="22"/>
        </w:rPr>
        <w:t>nově poskytnutých hypotečních úvěrů</w:t>
      </w:r>
      <w:r w:rsidR="006C3F79" w:rsidRPr="00616069">
        <w:rPr>
          <w:rFonts w:ascii="Calibri" w:hAnsi="Calibri" w:cs="Calibri"/>
          <w:b/>
          <w:bCs/>
          <w:sz w:val="22"/>
          <w:szCs w:val="22"/>
        </w:rPr>
        <w:t xml:space="preserve"> </w:t>
      </w:r>
      <w:r w:rsidR="00143BF5">
        <w:rPr>
          <w:rFonts w:ascii="Calibri" w:hAnsi="Calibri" w:cs="Calibri"/>
          <w:b/>
          <w:bCs/>
          <w:sz w:val="22"/>
          <w:szCs w:val="22"/>
        </w:rPr>
        <w:t>po</w:t>
      </w:r>
      <w:r w:rsidR="008D1695">
        <w:rPr>
          <w:rFonts w:ascii="Calibri" w:hAnsi="Calibri" w:cs="Calibri"/>
          <w:b/>
          <w:bCs/>
          <w:sz w:val="22"/>
          <w:szCs w:val="22"/>
        </w:rPr>
        <w:t xml:space="preserve">kračovala v září v nepatrném poklesu a dosáhla 4,96 % po 4,98 </w:t>
      </w:r>
      <w:r w:rsidR="00CB0D84">
        <w:rPr>
          <w:rFonts w:ascii="Calibri" w:hAnsi="Calibri" w:cs="Calibri"/>
          <w:b/>
          <w:bCs/>
          <w:sz w:val="22"/>
          <w:szCs w:val="22"/>
        </w:rPr>
        <w:t xml:space="preserve">% </w:t>
      </w:r>
      <w:r w:rsidR="008D1695">
        <w:rPr>
          <w:rFonts w:ascii="Calibri" w:hAnsi="Calibri" w:cs="Calibri"/>
          <w:b/>
          <w:bCs/>
          <w:sz w:val="22"/>
          <w:szCs w:val="22"/>
        </w:rPr>
        <w:t xml:space="preserve">v srpnu, kdy </w:t>
      </w:r>
      <w:r w:rsidR="00143BF5">
        <w:rPr>
          <w:rFonts w:ascii="Calibri" w:hAnsi="Calibri" w:cs="Calibri"/>
          <w:b/>
          <w:bCs/>
          <w:sz w:val="22"/>
          <w:szCs w:val="22"/>
        </w:rPr>
        <w:t xml:space="preserve">se dostala po více než dvou letech pod 5% hranici. </w:t>
      </w:r>
      <w:bookmarkEnd w:id="14"/>
      <w:r w:rsidR="001F2A1F" w:rsidRPr="00F520B3">
        <w:rPr>
          <w:rFonts w:ascii="Calibri" w:hAnsi="Calibri" w:cs="Calibri"/>
          <w:sz w:val="22"/>
          <w:szCs w:val="22"/>
        </w:rPr>
        <w:t xml:space="preserve">Realizované úrokové </w:t>
      </w:r>
      <w:r w:rsidR="007768F5" w:rsidRPr="00F520B3">
        <w:rPr>
          <w:rFonts w:ascii="Calibri" w:hAnsi="Calibri" w:cs="Calibri"/>
          <w:sz w:val="22"/>
          <w:szCs w:val="22"/>
        </w:rPr>
        <w:t xml:space="preserve">sazby </w:t>
      </w:r>
      <w:r w:rsidR="001F2A1F" w:rsidRPr="00F520B3">
        <w:rPr>
          <w:rFonts w:ascii="Calibri" w:hAnsi="Calibri" w:cs="Calibri"/>
          <w:sz w:val="22"/>
          <w:szCs w:val="22"/>
        </w:rPr>
        <w:t>na rozdíl od cen nabídkových reflektují skutečnou reálnou úrokovou sazbu u podepsaných hypotečních smluv</w:t>
      </w:r>
      <w:r w:rsidR="00971EE1" w:rsidRPr="00F520B3">
        <w:rPr>
          <w:rFonts w:ascii="Calibri" w:hAnsi="Calibri" w:cs="Calibri"/>
          <w:sz w:val="22"/>
          <w:szCs w:val="22"/>
        </w:rPr>
        <w:t>.</w:t>
      </w:r>
      <w:r w:rsidR="005063FD" w:rsidRPr="00616069">
        <w:rPr>
          <w:rFonts w:ascii="Calibri" w:hAnsi="Calibri" w:cs="Calibri"/>
          <w:sz w:val="22"/>
          <w:szCs w:val="22"/>
        </w:rPr>
        <w:t xml:space="preserve"> </w:t>
      </w:r>
    </w:p>
    <w:p w14:paraId="270B6825" w14:textId="0A6CAED4" w:rsidR="00251393" w:rsidRPr="00616069" w:rsidRDefault="00251393" w:rsidP="007826E0">
      <w:pPr>
        <w:rPr>
          <w:rFonts w:ascii="Calibri" w:hAnsi="Calibri" w:cs="Calibri"/>
          <w:sz w:val="22"/>
          <w:szCs w:val="22"/>
        </w:rPr>
      </w:pPr>
    </w:p>
    <w:p w14:paraId="6492840A" w14:textId="5F0DCEAC" w:rsidR="005874B8" w:rsidRPr="00616069" w:rsidRDefault="005874B8" w:rsidP="005874B8">
      <w:pPr>
        <w:spacing w:after="120"/>
        <w:rPr>
          <w:rFonts w:ascii="Calibri" w:hAnsi="Calibri" w:cs="Calibri"/>
          <w:sz w:val="22"/>
          <w:szCs w:val="22"/>
        </w:rPr>
      </w:pPr>
      <w:r w:rsidRPr="00616069">
        <w:rPr>
          <w:rFonts w:ascii="Calibri" w:hAnsi="Calibri" w:cs="Calibri"/>
          <w:b/>
          <w:color w:val="13576B"/>
          <w:sz w:val="23"/>
          <w:szCs w:val="23"/>
        </w:rPr>
        <w:t>Graf č. 1: Průměrná hypoteční sazba – nové obchody</w:t>
      </w:r>
    </w:p>
    <w:p w14:paraId="63E0611A" w14:textId="1448FA79" w:rsidR="005874B8" w:rsidRPr="00616069" w:rsidRDefault="00DE4BD0" w:rsidP="005874B8">
      <w:pPr>
        <w:rPr>
          <w:rFonts w:ascii="Calibri" w:hAnsi="Calibri" w:cs="Calibri"/>
          <w:sz w:val="22"/>
          <w:szCs w:val="22"/>
        </w:rPr>
      </w:pPr>
      <w:r w:rsidRPr="00DE4BD0">
        <w:rPr>
          <w:rFonts w:ascii="Calibri" w:hAnsi="Calibri" w:cs="Calibri"/>
          <w:noProof/>
          <w:sz w:val="22"/>
          <w:szCs w:val="22"/>
        </w:rPr>
        <w:drawing>
          <wp:inline distT="0" distB="0" distL="0" distR="0" wp14:anchorId="4EBDA423" wp14:editId="373CA332">
            <wp:extent cx="4680000" cy="2562399"/>
            <wp:effectExtent l="0" t="0" r="6350" b="9525"/>
            <wp:docPr id="1676060409" name="Picture 1" descr="A graph of a numb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60409" name="Picture 1" descr="A graph of a number of data&#10;&#10;Description automatically generated"/>
                    <pic:cNvPicPr/>
                  </pic:nvPicPr>
                  <pic:blipFill>
                    <a:blip r:embed="rId8"/>
                    <a:stretch>
                      <a:fillRect/>
                    </a:stretch>
                  </pic:blipFill>
                  <pic:spPr>
                    <a:xfrm>
                      <a:off x="0" y="0"/>
                      <a:ext cx="4680000" cy="2562399"/>
                    </a:xfrm>
                    <a:prstGeom prst="rect">
                      <a:avLst/>
                    </a:prstGeom>
                  </pic:spPr>
                </pic:pic>
              </a:graphicData>
            </a:graphic>
          </wp:inline>
        </w:drawing>
      </w:r>
    </w:p>
    <w:p w14:paraId="31FA0ABF" w14:textId="5D5C3360" w:rsidR="005874B8" w:rsidRPr="00616069" w:rsidRDefault="005874B8" w:rsidP="005874B8">
      <w:pPr>
        <w:rPr>
          <w:rFonts w:ascii="Calibri" w:hAnsi="Calibri" w:cs="Calibri"/>
          <w:sz w:val="22"/>
          <w:szCs w:val="22"/>
        </w:rPr>
      </w:pPr>
    </w:p>
    <w:p w14:paraId="649D0E1D" w14:textId="2B4B5241" w:rsidR="00AC7487" w:rsidRDefault="00AC7487" w:rsidP="00AB48D1">
      <w:pPr>
        <w:rPr>
          <w:rFonts w:ascii="Calibri" w:hAnsi="Calibri" w:cs="Calibri"/>
          <w:b/>
          <w:bCs/>
          <w:sz w:val="22"/>
          <w:szCs w:val="22"/>
        </w:rPr>
      </w:pPr>
      <w:bookmarkStart w:id="15" w:name="_Hlk137652102"/>
      <w:r w:rsidRPr="00100394">
        <w:rPr>
          <w:rFonts w:ascii="Calibri" w:hAnsi="Calibri" w:cs="Calibri"/>
          <w:b/>
          <w:bCs/>
          <w:sz w:val="22"/>
          <w:szCs w:val="22"/>
        </w:rPr>
        <w:t>Hypoteční sazby reagují s</w:t>
      </w:r>
      <w:r w:rsidR="00EF1944" w:rsidRPr="00100394">
        <w:rPr>
          <w:rFonts w:ascii="Calibri" w:hAnsi="Calibri" w:cs="Calibri"/>
          <w:b/>
          <w:bCs/>
          <w:sz w:val="22"/>
          <w:szCs w:val="22"/>
        </w:rPr>
        <w:t xml:space="preserve"> několikaměsíčním </w:t>
      </w:r>
      <w:r w:rsidRPr="00100394">
        <w:rPr>
          <w:rFonts w:ascii="Calibri" w:hAnsi="Calibri" w:cs="Calibri"/>
          <w:b/>
          <w:bCs/>
          <w:sz w:val="22"/>
          <w:szCs w:val="22"/>
        </w:rPr>
        <w:t>zpožděním především na vývoj tržních úrokových sazeb delších splatností.</w:t>
      </w:r>
      <w:r w:rsidRPr="00616069">
        <w:rPr>
          <w:rFonts w:ascii="Calibri" w:hAnsi="Calibri" w:cs="Calibri"/>
          <w:sz w:val="22"/>
          <w:szCs w:val="22"/>
        </w:rPr>
        <w:t xml:space="preserve"> Promítá se do nich řada faktorů </w:t>
      </w:r>
      <w:r w:rsidRPr="00616069">
        <w:rPr>
          <w:rFonts w:ascii="Calibri" w:hAnsi="Calibri" w:cs="Calibri"/>
        </w:rPr>
        <w:t>–</w:t>
      </w:r>
      <w:r w:rsidRPr="00616069">
        <w:rPr>
          <w:rFonts w:ascii="Calibri" w:hAnsi="Calibri" w:cs="Calibri"/>
          <w:sz w:val="22"/>
          <w:szCs w:val="22"/>
        </w:rPr>
        <w:t xml:space="preserve"> nejen očekáváný vývoj základních sazeb ČNB, ale i výhled na inflaci, ekonomický vývoj či dynamika obdobných úrokových sazeb v zahraničí. </w:t>
      </w:r>
      <w:bookmarkStart w:id="16" w:name="_Hlk119309144"/>
      <w:r w:rsidRPr="00616069">
        <w:rPr>
          <w:rFonts w:ascii="Calibri" w:hAnsi="Calibri" w:cs="Calibri"/>
          <w:sz w:val="22"/>
          <w:szCs w:val="22"/>
        </w:rPr>
        <w:t>Zmíněné tržní úrokové sazby delších splatností</w:t>
      </w:r>
      <w:r w:rsidRPr="00616069">
        <w:rPr>
          <w:rStyle w:val="Znakapoznpodarou"/>
          <w:rFonts w:ascii="Calibri" w:hAnsi="Calibri" w:cs="Calibri"/>
          <w:i/>
          <w:iCs/>
          <w:sz w:val="22"/>
          <w:szCs w:val="22"/>
        </w:rPr>
        <w:footnoteReference w:id="1"/>
      </w:r>
      <w:r w:rsidRPr="00616069">
        <w:rPr>
          <w:rFonts w:ascii="Calibri" w:hAnsi="Calibri" w:cs="Calibri"/>
          <w:sz w:val="22"/>
          <w:szCs w:val="22"/>
        </w:rPr>
        <w:t xml:space="preserve"> </w:t>
      </w:r>
      <w:r w:rsidR="00BD4509">
        <w:rPr>
          <w:rFonts w:ascii="Calibri" w:hAnsi="Calibri" w:cs="Calibri"/>
          <w:sz w:val="22"/>
          <w:szCs w:val="22"/>
        </w:rPr>
        <w:t>jsou v posledním období citelně rozkolísan</w:t>
      </w:r>
      <w:r w:rsidR="007E0678">
        <w:rPr>
          <w:rFonts w:ascii="Calibri" w:hAnsi="Calibri" w:cs="Calibri"/>
          <w:sz w:val="22"/>
          <w:szCs w:val="22"/>
        </w:rPr>
        <w:t>é</w:t>
      </w:r>
      <w:r w:rsidR="00BD4509">
        <w:rPr>
          <w:rFonts w:ascii="Calibri" w:hAnsi="Calibri" w:cs="Calibri"/>
          <w:sz w:val="22"/>
          <w:szCs w:val="22"/>
        </w:rPr>
        <w:t xml:space="preserve"> a reagují do velké míry na očekávání trhů spojené s vývojem sazeb Fedu a od konce září začaly opět mírně růst. V současnosti se n</w:t>
      </w:r>
      <w:r w:rsidR="00507747">
        <w:rPr>
          <w:rFonts w:ascii="Calibri" w:hAnsi="Calibri" w:cs="Calibri"/>
          <w:sz w:val="22"/>
          <w:szCs w:val="22"/>
        </w:rPr>
        <w:t>a</w:t>
      </w:r>
      <w:r w:rsidR="00BD4509">
        <w:rPr>
          <w:rFonts w:ascii="Calibri" w:hAnsi="Calibri" w:cs="Calibri"/>
          <w:sz w:val="22"/>
          <w:szCs w:val="22"/>
        </w:rPr>
        <w:t xml:space="preserve">chází zhruba o 0,3 p.b. výše než před měsícem. </w:t>
      </w:r>
      <w:r w:rsidR="00BD4509">
        <w:rPr>
          <w:rFonts w:ascii="Calibri" w:hAnsi="Calibri" w:cs="Calibri"/>
          <w:sz w:val="22"/>
          <w:szCs w:val="22"/>
        </w:rPr>
        <w:lastRenderedPageBreak/>
        <w:t xml:space="preserve">Jejich průměrná zářijová hodnota však byla nejnižší v letošním roce </w:t>
      </w:r>
      <w:r w:rsidR="00C0702F">
        <w:rPr>
          <w:rFonts w:ascii="Calibri" w:hAnsi="Calibri" w:cs="Calibri"/>
          <w:sz w:val="22"/>
          <w:szCs w:val="22"/>
        </w:rPr>
        <w:t xml:space="preserve">a zároveň na nejnižších úrovních od </w:t>
      </w:r>
      <w:r w:rsidR="00A0482C">
        <w:rPr>
          <w:rFonts w:ascii="Calibri" w:hAnsi="Calibri" w:cs="Calibri"/>
          <w:sz w:val="22"/>
          <w:szCs w:val="22"/>
        </w:rPr>
        <w:t>konce roku</w:t>
      </w:r>
      <w:r w:rsidR="0076126B">
        <w:rPr>
          <w:rFonts w:ascii="Calibri" w:hAnsi="Calibri" w:cs="Calibri"/>
          <w:sz w:val="22"/>
          <w:szCs w:val="22"/>
        </w:rPr>
        <w:t xml:space="preserve"> </w:t>
      </w:r>
      <w:r w:rsidR="00A0482C">
        <w:rPr>
          <w:rFonts w:ascii="Calibri" w:hAnsi="Calibri" w:cs="Calibri"/>
          <w:sz w:val="22"/>
          <w:szCs w:val="22"/>
        </w:rPr>
        <w:t>2021</w:t>
      </w:r>
      <w:r w:rsidR="00F343CC" w:rsidRPr="00100394">
        <w:rPr>
          <w:rFonts w:ascii="Calibri" w:hAnsi="Calibri" w:cs="Calibri"/>
          <w:b/>
          <w:bCs/>
          <w:sz w:val="22"/>
          <w:szCs w:val="22"/>
        </w:rPr>
        <w:t>.</w:t>
      </w:r>
      <w:r w:rsidR="002128AF" w:rsidRPr="00616069">
        <w:rPr>
          <w:rFonts w:ascii="Calibri" w:hAnsi="Calibri" w:cs="Calibri"/>
          <w:noProof/>
          <w:sz w:val="22"/>
          <w:szCs w:val="22"/>
        </w:rPr>
        <mc:AlternateContent>
          <mc:Choice Requires="wps">
            <w:drawing>
              <wp:anchor distT="0" distB="0" distL="114300" distR="114300" simplePos="0" relativeHeight="251680768" behindDoc="0" locked="0" layoutInCell="1" allowOverlap="1" wp14:anchorId="1B818DC6" wp14:editId="080FA9B8">
                <wp:simplePos x="0" y="0"/>
                <wp:positionH relativeFrom="margin">
                  <wp:posOffset>-41275</wp:posOffset>
                </wp:positionH>
                <wp:positionV relativeFrom="paragraph">
                  <wp:posOffset>408096</wp:posOffset>
                </wp:positionV>
                <wp:extent cx="6519545" cy="919480"/>
                <wp:effectExtent l="0" t="0" r="14605" b="13970"/>
                <wp:wrapTopAndBottom/>
                <wp:docPr id="709082043" name="Rectangle 1"/>
                <wp:cNvGraphicFramePr/>
                <a:graphic xmlns:a="http://schemas.openxmlformats.org/drawingml/2006/main">
                  <a:graphicData uri="http://schemas.microsoft.com/office/word/2010/wordprocessingShape">
                    <wps:wsp>
                      <wps:cNvSpPr/>
                      <wps:spPr>
                        <a:xfrm>
                          <a:off x="0" y="0"/>
                          <a:ext cx="6519545" cy="9194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57FB4" w14:textId="3D06DB6A" w:rsidR="002128AF" w:rsidRPr="00100394" w:rsidRDefault="002128AF" w:rsidP="002128AF">
                            <w:pPr>
                              <w:rPr>
                                <w:b/>
                                <w:bCs/>
                              </w:rPr>
                            </w:pPr>
                            <w:bookmarkStart w:id="17" w:name="_Hlk169018185"/>
                            <w:bookmarkStart w:id="18" w:name="_Hlk169018186"/>
                            <w:r w:rsidRPr="00420070">
                              <w:rPr>
                                <w:rFonts w:ascii="Calibri" w:eastAsia="Calibri" w:hAnsi="Calibri" w:cs="Calibri"/>
                                <w:i/>
                                <w:iCs/>
                                <w:sz w:val="22"/>
                                <w:szCs w:val="22"/>
                              </w:rPr>
                              <w:t>„</w:t>
                            </w:r>
                            <w:bookmarkEnd w:id="17"/>
                            <w:bookmarkEnd w:id="18"/>
                            <w:r w:rsidR="00BD4509">
                              <w:rPr>
                                <w:rFonts w:ascii="Calibri" w:eastAsia="Calibri" w:hAnsi="Calibri" w:cs="Calibri"/>
                                <w:i/>
                                <w:iCs/>
                                <w:sz w:val="22"/>
                                <w:szCs w:val="22"/>
                              </w:rPr>
                              <w:t>V</w:t>
                            </w:r>
                            <w:r w:rsidRPr="00420070">
                              <w:rPr>
                                <w:rFonts w:ascii="Calibri" w:eastAsia="Calibri" w:hAnsi="Calibri" w:cs="Calibri"/>
                                <w:i/>
                                <w:iCs/>
                                <w:sz w:val="22"/>
                                <w:szCs w:val="22"/>
                              </w:rPr>
                              <w:t>ývoj tržních sazeb delších splatnost</w:t>
                            </w:r>
                            <w:r w:rsidR="00BD4509">
                              <w:rPr>
                                <w:rFonts w:ascii="Calibri" w:eastAsia="Calibri" w:hAnsi="Calibri" w:cs="Calibri"/>
                                <w:i/>
                                <w:iCs/>
                                <w:sz w:val="22"/>
                                <w:szCs w:val="22"/>
                              </w:rPr>
                              <w:t>í je v letošním roce rozkolísaný a v posledních týdnech sazby opět z důvodu globálního vývoje mírně rostou. Jejich průměrná zářijov</w:t>
                            </w:r>
                            <w:r w:rsidR="00E57208">
                              <w:rPr>
                                <w:rFonts w:ascii="Calibri" w:eastAsia="Calibri" w:hAnsi="Calibri" w:cs="Calibri"/>
                                <w:i/>
                                <w:iCs/>
                                <w:sz w:val="22"/>
                                <w:szCs w:val="22"/>
                              </w:rPr>
                              <w:t>á</w:t>
                            </w:r>
                            <w:r w:rsidR="00BD4509">
                              <w:rPr>
                                <w:rFonts w:ascii="Calibri" w:eastAsia="Calibri" w:hAnsi="Calibri" w:cs="Calibri"/>
                                <w:i/>
                                <w:iCs/>
                                <w:sz w:val="22"/>
                                <w:szCs w:val="22"/>
                              </w:rPr>
                              <w:t xml:space="preserve"> hodnota však byla nejnižší od konce roku 2021. Hypoteční sazby reagují na</w:t>
                            </w:r>
                            <w:r w:rsidRPr="00420070">
                              <w:rPr>
                                <w:rFonts w:ascii="Calibri" w:eastAsia="Calibri" w:hAnsi="Calibri" w:cs="Calibri"/>
                                <w:i/>
                                <w:iCs/>
                                <w:sz w:val="22"/>
                                <w:szCs w:val="22"/>
                              </w:rPr>
                              <w:t xml:space="preserve"> vývoj</w:t>
                            </w:r>
                            <w:r w:rsidR="00BD4509">
                              <w:rPr>
                                <w:rFonts w:ascii="Calibri" w:eastAsia="Calibri" w:hAnsi="Calibri" w:cs="Calibri"/>
                                <w:i/>
                                <w:iCs/>
                                <w:sz w:val="22"/>
                                <w:szCs w:val="22"/>
                              </w:rPr>
                              <w:t xml:space="preserve"> tržních sazeb</w:t>
                            </w:r>
                            <w:r w:rsidRPr="00420070">
                              <w:rPr>
                                <w:rFonts w:ascii="Calibri" w:eastAsia="Calibri" w:hAnsi="Calibri" w:cs="Calibri"/>
                                <w:i/>
                                <w:iCs/>
                                <w:sz w:val="22"/>
                                <w:szCs w:val="22"/>
                              </w:rPr>
                              <w:t xml:space="preserve"> s několikaměsíčním zpožděním, pokud se tak vývoj na trhu</w:t>
                            </w:r>
                            <w:r w:rsidR="00B44209">
                              <w:rPr>
                                <w:rFonts w:ascii="Calibri" w:eastAsia="Calibri" w:hAnsi="Calibri" w:cs="Calibri"/>
                                <w:i/>
                                <w:iCs/>
                                <w:sz w:val="22"/>
                                <w:szCs w:val="22"/>
                              </w:rPr>
                              <w:t xml:space="preserve"> </w:t>
                            </w:r>
                            <w:r w:rsidR="00BD4509">
                              <w:rPr>
                                <w:rFonts w:ascii="Calibri" w:eastAsia="Calibri" w:hAnsi="Calibri" w:cs="Calibri"/>
                                <w:i/>
                                <w:iCs/>
                                <w:sz w:val="22"/>
                                <w:szCs w:val="22"/>
                              </w:rPr>
                              <w:t xml:space="preserve">výrazněji </w:t>
                            </w:r>
                            <w:r w:rsidR="00B44209">
                              <w:rPr>
                                <w:rFonts w:ascii="Calibri" w:eastAsia="Calibri" w:hAnsi="Calibri" w:cs="Calibri"/>
                                <w:i/>
                                <w:iCs/>
                                <w:sz w:val="22"/>
                                <w:szCs w:val="22"/>
                              </w:rPr>
                              <w:t>neobrátí</w:t>
                            </w:r>
                            <w:r w:rsidRPr="00420070">
                              <w:rPr>
                                <w:rFonts w:ascii="Calibri" w:eastAsia="Calibri" w:hAnsi="Calibri" w:cs="Calibri"/>
                                <w:i/>
                                <w:iCs/>
                                <w:sz w:val="22"/>
                                <w:szCs w:val="22"/>
                              </w:rPr>
                              <w:t xml:space="preserve">, </w:t>
                            </w:r>
                            <w:r>
                              <w:rPr>
                                <w:rFonts w:ascii="Calibri" w:eastAsia="Calibri" w:hAnsi="Calibri" w:cs="Calibri"/>
                                <w:i/>
                                <w:iCs/>
                                <w:sz w:val="22"/>
                                <w:szCs w:val="22"/>
                              </w:rPr>
                              <w:t xml:space="preserve">další </w:t>
                            </w:r>
                            <w:r w:rsidRPr="00420070">
                              <w:rPr>
                                <w:rFonts w:ascii="Calibri" w:eastAsia="Calibri" w:hAnsi="Calibri" w:cs="Calibri"/>
                                <w:i/>
                                <w:iCs/>
                                <w:sz w:val="22"/>
                                <w:szCs w:val="22"/>
                              </w:rPr>
                              <w:t>mírný pokles hypotečních sazeb by měl v příštích mě</w:t>
                            </w:r>
                            <w:r w:rsidR="001715A2">
                              <w:rPr>
                                <w:rFonts w:ascii="Calibri" w:eastAsia="Calibri" w:hAnsi="Calibri" w:cs="Calibri"/>
                                <w:i/>
                                <w:iCs/>
                                <w:sz w:val="22"/>
                                <w:szCs w:val="22"/>
                              </w:rPr>
                              <w:t>s</w:t>
                            </w:r>
                            <w:r w:rsidRPr="00420070">
                              <w:rPr>
                                <w:rFonts w:ascii="Calibri" w:eastAsia="Calibri" w:hAnsi="Calibri" w:cs="Calibri"/>
                                <w:i/>
                                <w:iCs/>
                                <w:sz w:val="22"/>
                                <w:szCs w:val="22"/>
                              </w:rPr>
                              <w:t>í</w:t>
                            </w:r>
                            <w:r w:rsidR="003C6710">
                              <w:rPr>
                                <w:rFonts w:ascii="Calibri" w:eastAsia="Calibri" w:hAnsi="Calibri" w:cs="Calibri"/>
                                <w:i/>
                                <w:iCs/>
                                <w:sz w:val="22"/>
                                <w:szCs w:val="22"/>
                              </w:rPr>
                              <w:t>cí</w:t>
                            </w:r>
                            <w:r w:rsidRPr="00420070">
                              <w:rPr>
                                <w:rFonts w:ascii="Calibri" w:eastAsia="Calibri" w:hAnsi="Calibri" w:cs="Calibri"/>
                                <w:i/>
                                <w:iCs/>
                                <w:sz w:val="22"/>
                                <w:szCs w:val="22"/>
                              </w:rPr>
                              <w:t xml:space="preserve">ch pokračovat,“ </w:t>
                            </w:r>
                            <w:r w:rsidRPr="00420070">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818DC6" id="_x0000_s1028" style="position:absolute;left:0;text-align:left;margin-left:-3.25pt;margin-top:32.15pt;width:513.35pt;height:72.4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" fillcolor="white [3201]" strokecolor="black [3213]" strokeweight=".5pt">
                <v:textbox>
                  <w:txbxContent>
                    <w:p w14:paraId="39857FB4" w14:textId="3D06DB6A" w:rsidR="002128AF" w:rsidRPr="00100394" w:rsidRDefault="002128AF" w:rsidP="002128AF">
                      <w:pPr>
                        <w:rPr>
                          <w:b/>
                          <w:bCs/>
                        </w:rPr>
                      </w:pPr>
                      <w:bookmarkStart w:id="19" w:name="_Hlk169018185"/>
                      <w:bookmarkStart w:id="20" w:name="_Hlk169018186"/>
                      <w:r w:rsidRPr="00420070">
                        <w:rPr>
                          <w:rFonts w:ascii="Calibri" w:eastAsia="Calibri" w:hAnsi="Calibri" w:cs="Calibri"/>
                          <w:i/>
                          <w:iCs/>
                          <w:sz w:val="22"/>
                          <w:szCs w:val="22"/>
                        </w:rPr>
                        <w:t>„</w:t>
                      </w:r>
                      <w:bookmarkEnd w:id="19"/>
                      <w:bookmarkEnd w:id="20"/>
                      <w:r w:rsidR="00BD4509">
                        <w:rPr>
                          <w:rFonts w:ascii="Calibri" w:eastAsia="Calibri" w:hAnsi="Calibri" w:cs="Calibri"/>
                          <w:i/>
                          <w:iCs/>
                          <w:sz w:val="22"/>
                          <w:szCs w:val="22"/>
                        </w:rPr>
                        <w:t>V</w:t>
                      </w:r>
                      <w:r w:rsidRPr="00420070">
                        <w:rPr>
                          <w:rFonts w:ascii="Calibri" w:eastAsia="Calibri" w:hAnsi="Calibri" w:cs="Calibri"/>
                          <w:i/>
                          <w:iCs/>
                          <w:sz w:val="22"/>
                          <w:szCs w:val="22"/>
                        </w:rPr>
                        <w:t>ývoj tržních sazeb delších splatnost</w:t>
                      </w:r>
                      <w:r w:rsidR="00BD4509">
                        <w:rPr>
                          <w:rFonts w:ascii="Calibri" w:eastAsia="Calibri" w:hAnsi="Calibri" w:cs="Calibri"/>
                          <w:i/>
                          <w:iCs/>
                          <w:sz w:val="22"/>
                          <w:szCs w:val="22"/>
                        </w:rPr>
                        <w:t>í je v letošním roce rozkolísaný a v posledních týdnech sazby opět z důvodu globálního vývoje mírně rostou. Jejich průměrná zářijov</w:t>
                      </w:r>
                      <w:r w:rsidR="00E57208">
                        <w:rPr>
                          <w:rFonts w:ascii="Calibri" w:eastAsia="Calibri" w:hAnsi="Calibri" w:cs="Calibri"/>
                          <w:i/>
                          <w:iCs/>
                          <w:sz w:val="22"/>
                          <w:szCs w:val="22"/>
                        </w:rPr>
                        <w:t>á</w:t>
                      </w:r>
                      <w:r w:rsidR="00BD4509">
                        <w:rPr>
                          <w:rFonts w:ascii="Calibri" w:eastAsia="Calibri" w:hAnsi="Calibri" w:cs="Calibri"/>
                          <w:i/>
                          <w:iCs/>
                          <w:sz w:val="22"/>
                          <w:szCs w:val="22"/>
                        </w:rPr>
                        <w:t xml:space="preserve"> hodnota však byla nejnižší od konce roku 2021. Hypoteční sazby reagují na</w:t>
                      </w:r>
                      <w:r w:rsidRPr="00420070">
                        <w:rPr>
                          <w:rFonts w:ascii="Calibri" w:eastAsia="Calibri" w:hAnsi="Calibri" w:cs="Calibri"/>
                          <w:i/>
                          <w:iCs/>
                          <w:sz w:val="22"/>
                          <w:szCs w:val="22"/>
                        </w:rPr>
                        <w:t xml:space="preserve"> vývoj</w:t>
                      </w:r>
                      <w:r w:rsidR="00BD4509">
                        <w:rPr>
                          <w:rFonts w:ascii="Calibri" w:eastAsia="Calibri" w:hAnsi="Calibri" w:cs="Calibri"/>
                          <w:i/>
                          <w:iCs/>
                          <w:sz w:val="22"/>
                          <w:szCs w:val="22"/>
                        </w:rPr>
                        <w:t xml:space="preserve"> tržních sazeb</w:t>
                      </w:r>
                      <w:r w:rsidRPr="00420070">
                        <w:rPr>
                          <w:rFonts w:ascii="Calibri" w:eastAsia="Calibri" w:hAnsi="Calibri" w:cs="Calibri"/>
                          <w:i/>
                          <w:iCs/>
                          <w:sz w:val="22"/>
                          <w:szCs w:val="22"/>
                        </w:rPr>
                        <w:t xml:space="preserve"> s několikaměsíčním zpožděním, pokud se tak vývoj na trhu</w:t>
                      </w:r>
                      <w:r w:rsidR="00B44209">
                        <w:rPr>
                          <w:rFonts w:ascii="Calibri" w:eastAsia="Calibri" w:hAnsi="Calibri" w:cs="Calibri"/>
                          <w:i/>
                          <w:iCs/>
                          <w:sz w:val="22"/>
                          <w:szCs w:val="22"/>
                        </w:rPr>
                        <w:t xml:space="preserve"> </w:t>
                      </w:r>
                      <w:r w:rsidR="00BD4509">
                        <w:rPr>
                          <w:rFonts w:ascii="Calibri" w:eastAsia="Calibri" w:hAnsi="Calibri" w:cs="Calibri"/>
                          <w:i/>
                          <w:iCs/>
                          <w:sz w:val="22"/>
                          <w:szCs w:val="22"/>
                        </w:rPr>
                        <w:t xml:space="preserve">výrazněji </w:t>
                      </w:r>
                      <w:r w:rsidR="00B44209">
                        <w:rPr>
                          <w:rFonts w:ascii="Calibri" w:eastAsia="Calibri" w:hAnsi="Calibri" w:cs="Calibri"/>
                          <w:i/>
                          <w:iCs/>
                          <w:sz w:val="22"/>
                          <w:szCs w:val="22"/>
                        </w:rPr>
                        <w:t>neobrátí</w:t>
                      </w:r>
                      <w:r w:rsidRPr="00420070">
                        <w:rPr>
                          <w:rFonts w:ascii="Calibri" w:eastAsia="Calibri" w:hAnsi="Calibri" w:cs="Calibri"/>
                          <w:i/>
                          <w:iCs/>
                          <w:sz w:val="22"/>
                          <w:szCs w:val="22"/>
                        </w:rPr>
                        <w:t xml:space="preserve">, </w:t>
                      </w:r>
                      <w:r>
                        <w:rPr>
                          <w:rFonts w:ascii="Calibri" w:eastAsia="Calibri" w:hAnsi="Calibri" w:cs="Calibri"/>
                          <w:i/>
                          <w:iCs/>
                          <w:sz w:val="22"/>
                          <w:szCs w:val="22"/>
                        </w:rPr>
                        <w:t xml:space="preserve">další </w:t>
                      </w:r>
                      <w:r w:rsidRPr="00420070">
                        <w:rPr>
                          <w:rFonts w:ascii="Calibri" w:eastAsia="Calibri" w:hAnsi="Calibri" w:cs="Calibri"/>
                          <w:i/>
                          <w:iCs/>
                          <w:sz w:val="22"/>
                          <w:szCs w:val="22"/>
                        </w:rPr>
                        <w:t>mírný pokles hypotečních sazeb by měl v příštích mě</w:t>
                      </w:r>
                      <w:r w:rsidR="001715A2">
                        <w:rPr>
                          <w:rFonts w:ascii="Calibri" w:eastAsia="Calibri" w:hAnsi="Calibri" w:cs="Calibri"/>
                          <w:i/>
                          <w:iCs/>
                          <w:sz w:val="22"/>
                          <w:szCs w:val="22"/>
                        </w:rPr>
                        <w:t>s</w:t>
                      </w:r>
                      <w:r w:rsidRPr="00420070">
                        <w:rPr>
                          <w:rFonts w:ascii="Calibri" w:eastAsia="Calibri" w:hAnsi="Calibri" w:cs="Calibri"/>
                          <w:i/>
                          <w:iCs/>
                          <w:sz w:val="22"/>
                          <w:szCs w:val="22"/>
                        </w:rPr>
                        <w:t>í</w:t>
                      </w:r>
                      <w:r w:rsidR="003C6710">
                        <w:rPr>
                          <w:rFonts w:ascii="Calibri" w:eastAsia="Calibri" w:hAnsi="Calibri" w:cs="Calibri"/>
                          <w:i/>
                          <w:iCs/>
                          <w:sz w:val="22"/>
                          <w:szCs w:val="22"/>
                        </w:rPr>
                        <w:t>cí</w:t>
                      </w:r>
                      <w:r w:rsidRPr="00420070">
                        <w:rPr>
                          <w:rFonts w:ascii="Calibri" w:eastAsia="Calibri" w:hAnsi="Calibri" w:cs="Calibri"/>
                          <w:i/>
                          <w:iCs/>
                          <w:sz w:val="22"/>
                          <w:szCs w:val="22"/>
                        </w:rPr>
                        <w:t xml:space="preserve">ch pokračovat,“ </w:t>
                      </w:r>
                      <w:r w:rsidRPr="00420070">
                        <w:rPr>
                          <w:rFonts w:ascii="Calibri" w:eastAsia="Calibri" w:hAnsi="Calibri" w:cs="Calibri"/>
                          <w:b/>
                          <w:bCs/>
                          <w:sz w:val="22"/>
                          <w:szCs w:val="22"/>
                        </w:rPr>
                        <w:t>říká Jakub Seidler, hlavní ekonom České bankovní asociace.</w:t>
                      </w:r>
                    </w:p>
                    <w:p w14:paraId="52041135" w14:textId="28AC70FF" w:rsidR="00942AD5" w:rsidRPr="00616069" w:rsidRDefault="00942AD5" w:rsidP="00942AD5"/>
                  </w:txbxContent>
                </v:textbox>
                <w10:wrap type="topAndBottom" anchorx="margin"/>
              </v:rect>
            </w:pict>
          </mc:Fallback>
        </mc:AlternateContent>
      </w:r>
      <w:bookmarkEnd w:id="16"/>
    </w:p>
    <w:bookmarkEnd w:id="15"/>
    <w:p w14:paraId="5578E9B0" w14:textId="451A5B09" w:rsidR="00F61FFC" w:rsidRPr="00616069" w:rsidRDefault="00F61FFC" w:rsidP="00AB48D1">
      <w:pPr>
        <w:rPr>
          <w:rFonts w:ascii="Calibri" w:hAnsi="Calibri" w:cs="Calibri"/>
          <w:sz w:val="22"/>
          <w:szCs w:val="22"/>
        </w:rPr>
      </w:pPr>
    </w:p>
    <w:p w14:paraId="72E83631" w14:textId="5E7E83CA" w:rsidR="00B04FE2" w:rsidRPr="00616069" w:rsidRDefault="00E4296A" w:rsidP="00B04FE2">
      <w:pPr>
        <w:rPr>
          <w:rFonts w:ascii="Calibri" w:hAnsi="Calibri" w:cs="Calibri"/>
          <w:b/>
          <w:color w:val="13576B"/>
          <w:sz w:val="24"/>
          <w:szCs w:val="24"/>
        </w:rPr>
      </w:pPr>
      <w:bookmarkStart w:id="21" w:name="_Hlk100672905"/>
      <w:r w:rsidRPr="00616069">
        <w:rPr>
          <w:rFonts w:ascii="Calibri" w:hAnsi="Calibri" w:cs="Calibri"/>
          <w:b/>
          <w:color w:val="13576B"/>
          <w:sz w:val="24"/>
          <w:szCs w:val="24"/>
        </w:rPr>
        <w:t xml:space="preserve">Průměrná velikost </w:t>
      </w:r>
      <w:r w:rsidR="00D73AAF" w:rsidRPr="00616069">
        <w:rPr>
          <w:rFonts w:ascii="Calibri" w:hAnsi="Calibri" w:cs="Calibri"/>
          <w:b/>
          <w:color w:val="13576B"/>
          <w:sz w:val="24"/>
          <w:szCs w:val="24"/>
        </w:rPr>
        <w:t xml:space="preserve">hypotéky </w:t>
      </w:r>
      <w:r w:rsidR="00DE4BD0">
        <w:rPr>
          <w:rFonts w:ascii="Calibri" w:hAnsi="Calibri" w:cs="Calibri"/>
          <w:b/>
          <w:color w:val="13576B"/>
          <w:sz w:val="24"/>
          <w:szCs w:val="24"/>
        </w:rPr>
        <w:t>se v září snížila na červencovou úroveň</w:t>
      </w:r>
    </w:p>
    <w:p w14:paraId="3A9CA915" w14:textId="168C66B9" w:rsidR="00280AB4" w:rsidRPr="00EA73BA" w:rsidRDefault="00B04FE2" w:rsidP="00280AB4">
      <w:pPr>
        <w:overflowPunct/>
        <w:autoSpaceDE/>
        <w:autoSpaceDN/>
        <w:adjustRightInd/>
        <w:spacing w:after="160" w:line="259" w:lineRule="auto"/>
        <w:textAlignment w:val="auto"/>
        <w:rPr>
          <w:rFonts w:ascii="Calibri" w:hAnsi="Calibri" w:cs="Calibri"/>
          <w:b/>
          <w:bCs/>
          <w:sz w:val="22"/>
          <w:szCs w:val="22"/>
        </w:rPr>
      </w:pPr>
      <w:r w:rsidRPr="00EA73BA">
        <w:rPr>
          <w:rFonts w:ascii="Calibri" w:hAnsi="Calibri" w:cs="Calibri"/>
          <w:b/>
          <w:bCs/>
          <w:sz w:val="22"/>
          <w:szCs w:val="22"/>
        </w:rPr>
        <w:t xml:space="preserve">Průměrná výše hypotéky </w:t>
      </w:r>
      <w:r w:rsidR="00BC1D46" w:rsidRPr="00EA73BA">
        <w:rPr>
          <w:rFonts w:ascii="Calibri" w:hAnsi="Calibri" w:cs="Calibri"/>
          <w:b/>
          <w:bCs/>
          <w:sz w:val="22"/>
          <w:szCs w:val="22"/>
        </w:rPr>
        <w:t>v</w:t>
      </w:r>
      <w:r w:rsidR="002E6192">
        <w:rPr>
          <w:rFonts w:ascii="Calibri" w:hAnsi="Calibri" w:cs="Calibri"/>
          <w:b/>
          <w:bCs/>
          <w:sz w:val="22"/>
          <w:szCs w:val="22"/>
        </w:rPr>
        <w:t xml:space="preserve"> sr</w:t>
      </w:r>
      <w:r w:rsidR="00B44209">
        <w:rPr>
          <w:rFonts w:ascii="Calibri" w:hAnsi="Calibri" w:cs="Calibri"/>
          <w:b/>
          <w:bCs/>
          <w:sz w:val="22"/>
          <w:szCs w:val="22"/>
        </w:rPr>
        <w:t>p</w:t>
      </w:r>
      <w:r w:rsidR="002E6192">
        <w:rPr>
          <w:rFonts w:ascii="Calibri" w:hAnsi="Calibri" w:cs="Calibri"/>
          <w:b/>
          <w:bCs/>
          <w:sz w:val="22"/>
          <w:szCs w:val="22"/>
        </w:rPr>
        <w:t>nu</w:t>
      </w:r>
      <w:r w:rsidR="007877DC">
        <w:rPr>
          <w:rFonts w:ascii="Calibri" w:hAnsi="Calibri" w:cs="Calibri"/>
          <w:b/>
          <w:bCs/>
          <w:sz w:val="22"/>
          <w:szCs w:val="22"/>
        </w:rPr>
        <w:t xml:space="preserve"> </w:t>
      </w:r>
      <w:r w:rsidR="008D1695">
        <w:rPr>
          <w:rFonts w:ascii="Calibri" w:hAnsi="Calibri" w:cs="Calibri"/>
          <w:b/>
          <w:bCs/>
          <w:sz w:val="22"/>
          <w:szCs w:val="22"/>
        </w:rPr>
        <w:t xml:space="preserve">poskočila </w:t>
      </w:r>
      <w:r w:rsidR="00EF1944" w:rsidRPr="00EA73BA">
        <w:rPr>
          <w:rFonts w:ascii="Calibri" w:hAnsi="Calibri" w:cs="Calibri"/>
          <w:b/>
          <w:bCs/>
          <w:sz w:val="22"/>
          <w:szCs w:val="22"/>
        </w:rPr>
        <w:t>z</w:t>
      </w:r>
      <w:r w:rsidR="007877DC">
        <w:rPr>
          <w:rFonts w:ascii="Calibri" w:hAnsi="Calibri" w:cs="Calibri"/>
          <w:b/>
          <w:bCs/>
          <w:sz w:val="22"/>
          <w:szCs w:val="22"/>
        </w:rPr>
        <w:t> 3,</w:t>
      </w:r>
      <w:r w:rsidR="00A0482C">
        <w:rPr>
          <w:rFonts w:ascii="Calibri" w:hAnsi="Calibri" w:cs="Calibri"/>
          <w:b/>
          <w:bCs/>
          <w:sz w:val="22"/>
          <w:szCs w:val="22"/>
        </w:rPr>
        <w:t xml:space="preserve">77 </w:t>
      </w:r>
      <w:r w:rsidR="007877DC">
        <w:rPr>
          <w:rFonts w:ascii="Calibri" w:hAnsi="Calibri" w:cs="Calibri"/>
          <w:b/>
          <w:bCs/>
          <w:sz w:val="22"/>
          <w:szCs w:val="22"/>
        </w:rPr>
        <w:t>na 3,</w:t>
      </w:r>
      <w:r w:rsidR="00A0482C">
        <w:rPr>
          <w:rFonts w:ascii="Calibri" w:hAnsi="Calibri" w:cs="Calibri"/>
          <w:b/>
          <w:bCs/>
          <w:sz w:val="22"/>
          <w:szCs w:val="22"/>
        </w:rPr>
        <w:t xml:space="preserve">95 </w:t>
      </w:r>
      <w:r w:rsidR="007877DC">
        <w:rPr>
          <w:rFonts w:ascii="Calibri" w:hAnsi="Calibri" w:cs="Calibri"/>
          <w:b/>
          <w:bCs/>
          <w:sz w:val="22"/>
          <w:szCs w:val="22"/>
        </w:rPr>
        <w:t>mil</w:t>
      </w:r>
      <w:r w:rsidR="00E76B64">
        <w:rPr>
          <w:rFonts w:ascii="Calibri" w:hAnsi="Calibri" w:cs="Calibri"/>
          <w:b/>
          <w:bCs/>
          <w:sz w:val="22"/>
          <w:szCs w:val="22"/>
        </w:rPr>
        <w:t>.</w:t>
      </w:r>
      <w:r w:rsidR="007877DC">
        <w:rPr>
          <w:rFonts w:ascii="Calibri" w:hAnsi="Calibri" w:cs="Calibri"/>
          <w:b/>
          <w:bCs/>
          <w:sz w:val="22"/>
          <w:szCs w:val="22"/>
        </w:rPr>
        <w:t xml:space="preserve"> Kč</w:t>
      </w:r>
      <w:r w:rsidR="008D1695">
        <w:rPr>
          <w:rFonts w:ascii="Calibri" w:hAnsi="Calibri" w:cs="Calibri"/>
          <w:b/>
          <w:bCs/>
          <w:sz w:val="22"/>
          <w:szCs w:val="22"/>
        </w:rPr>
        <w:t xml:space="preserve">, </w:t>
      </w:r>
      <w:r w:rsidR="000770D8">
        <w:rPr>
          <w:rFonts w:ascii="Calibri" w:hAnsi="Calibri" w:cs="Calibri"/>
          <w:b/>
          <w:bCs/>
          <w:sz w:val="22"/>
          <w:szCs w:val="22"/>
        </w:rPr>
        <w:t>v</w:t>
      </w:r>
      <w:r w:rsidR="008D1695">
        <w:rPr>
          <w:rFonts w:ascii="Calibri" w:hAnsi="Calibri" w:cs="Calibri"/>
          <w:b/>
          <w:bCs/>
          <w:sz w:val="22"/>
          <w:szCs w:val="22"/>
        </w:rPr>
        <w:t xml:space="preserve"> září se však hodnota navrátila blíže hodnotám </w:t>
      </w:r>
      <w:r w:rsidR="000770D8">
        <w:rPr>
          <w:rFonts w:ascii="Calibri" w:hAnsi="Calibri" w:cs="Calibri"/>
          <w:b/>
          <w:bCs/>
          <w:sz w:val="22"/>
          <w:szCs w:val="22"/>
        </w:rPr>
        <w:t>z července</w:t>
      </w:r>
      <w:r w:rsidR="008D1695">
        <w:rPr>
          <w:rFonts w:ascii="Calibri" w:hAnsi="Calibri" w:cs="Calibri"/>
          <w:b/>
          <w:bCs/>
          <w:sz w:val="22"/>
          <w:szCs w:val="22"/>
        </w:rPr>
        <w:t>. Odhlédneme-li od této korekce</w:t>
      </w:r>
      <w:r w:rsidR="000770D8">
        <w:rPr>
          <w:rFonts w:ascii="Calibri" w:hAnsi="Calibri" w:cs="Calibri"/>
          <w:b/>
          <w:bCs/>
          <w:sz w:val="22"/>
          <w:szCs w:val="22"/>
        </w:rPr>
        <w:t xml:space="preserve"> po mimořádném srpnu</w:t>
      </w:r>
      <w:r w:rsidR="008D1695">
        <w:rPr>
          <w:rFonts w:ascii="Calibri" w:hAnsi="Calibri" w:cs="Calibri"/>
          <w:b/>
          <w:bCs/>
          <w:sz w:val="22"/>
          <w:szCs w:val="22"/>
        </w:rPr>
        <w:t xml:space="preserve">, </w:t>
      </w:r>
      <w:r w:rsidR="00F343CC">
        <w:rPr>
          <w:rFonts w:ascii="Calibri" w:hAnsi="Calibri" w:cs="Calibri"/>
          <w:b/>
          <w:bCs/>
          <w:sz w:val="22"/>
          <w:szCs w:val="22"/>
        </w:rPr>
        <w:t xml:space="preserve">průměrná výše hypotéky </w:t>
      </w:r>
      <w:r w:rsidR="008D1695">
        <w:rPr>
          <w:rFonts w:ascii="Calibri" w:hAnsi="Calibri" w:cs="Calibri"/>
          <w:b/>
          <w:bCs/>
          <w:sz w:val="22"/>
          <w:szCs w:val="22"/>
        </w:rPr>
        <w:t xml:space="preserve">od dubna postupně roste a </w:t>
      </w:r>
      <w:r w:rsidR="00F343CC">
        <w:rPr>
          <w:rFonts w:ascii="Calibri" w:hAnsi="Calibri" w:cs="Calibri"/>
          <w:b/>
          <w:bCs/>
          <w:sz w:val="22"/>
          <w:szCs w:val="22"/>
        </w:rPr>
        <w:t xml:space="preserve">převyšuje </w:t>
      </w:r>
      <w:r w:rsidR="007877DC">
        <w:rPr>
          <w:rFonts w:ascii="Calibri" w:hAnsi="Calibri" w:cs="Calibri"/>
          <w:b/>
          <w:bCs/>
          <w:sz w:val="22"/>
          <w:szCs w:val="22"/>
        </w:rPr>
        <w:t>dosavadní rekordní úroveň z listopadu 2021 ve výši 3,46 mil</w:t>
      </w:r>
      <w:r w:rsidR="00E76B64">
        <w:rPr>
          <w:rFonts w:ascii="Calibri" w:hAnsi="Calibri" w:cs="Calibri"/>
          <w:b/>
          <w:bCs/>
          <w:sz w:val="22"/>
          <w:szCs w:val="22"/>
        </w:rPr>
        <w:t>.</w:t>
      </w:r>
      <w:r w:rsidR="007877DC">
        <w:rPr>
          <w:rFonts w:ascii="Calibri" w:hAnsi="Calibri" w:cs="Calibri"/>
          <w:b/>
          <w:bCs/>
          <w:sz w:val="22"/>
          <w:szCs w:val="22"/>
        </w:rPr>
        <w:t xml:space="preserve"> Kč.</w:t>
      </w:r>
      <w:r w:rsidR="00783BA7">
        <w:rPr>
          <w:rFonts w:ascii="Calibri" w:hAnsi="Calibri" w:cs="Calibri"/>
          <w:b/>
          <w:bCs/>
          <w:sz w:val="22"/>
          <w:szCs w:val="22"/>
        </w:rPr>
        <w:t xml:space="preserve"> </w:t>
      </w:r>
      <w:r w:rsidR="00BD4931" w:rsidRPr="00EA73BA">
        <w:rPr>
          <w:rFonts w:ascii="Calibri" w:hAnsi="Calibri" w:cs="Calibri"/>
          <w:sz w:val="22"/>
          <w:szCs w:val="22"/>
        </w:rPr>
        <w:t xml:space="preserve"> </w:t>
      </w:r>
      <w:r w:rsidR="00783BA7">
        <w:rPr>
          <w:rFonts w:ascii="Calibri" w:hAnsi="Calibri" w:cs="Calibri"/>
          <w:sz w:val="22"/>
          <w:szCs w:val="22"/>
        </w:rPr>
        <w:t>Dosáhnout na vyšší hypotéku umožňuje postupný pokles hypotečních sazeb či uvolnění makroobezřetnostních příjmových limitů ze strany ČNB společně s postupným růstem reálných příjmů domácností. Výše hypotéky pak souvisí také s vývojem cen nemovitostí, které byly</w:t>
      </w:r>
      <w:r w:rsidR="00F343CC">
        <w:rPr>
          <w:rFonts w:ascii="Calibri" w:hAnsi="Calibri" w:cs="Calibri"/>
          <w:sz w:val="22"/>
          <w:szCs w:val="22"/>
        </w:rPr>
        <w:t xml:space="preserve"> v</w:t>
      </w:r>
      <w:r w:rsidR="00507747">
        <w:rPr>
          <w:rFonts w:ascii="Calibri" w:hAnsi="Calibri" w:cs="Calibri"/>
          <w:sz w:val="22"/>
          <w:szCs w:val="22"/>
        </w:rPr>
        <w:t xml:space="preserve"> </w:t>
      </w:r>
      <w:r w:rsidR="000770D8">
        <w:rPr>
          <w:rFonts w:ascii="Calibri" w:hAnsi="Calibri" w:cs="Calibri"/>
          <w:sz w:val="22"/>
          <w:szCs w:val="22"/>
        </w:rPr>
        <w:t>2</w:t>
      </w:r>
      <w:r w:rsidR="00F343CC">
        <w:rPr>
          <w:rFonts w:ascii="Calibri" w:hAnsi="Calibri" w:cs="Calibri"/>
          <w:sz w:val="22"/>
          <w:szCs w:val="22"/>
        </w:rPr>
        <w:t>. čtvrtletí letošního roku</w:t>
      </w:r>
      <w:r w:rsidR="00EA73BA">
        <w:rPr>
          <w:rFonts w:ascii="Calibri" w:hAnsi="Calibri" w:cs="Calibri"/>
          <w:sz w:val="22"/>
          <w:szCs w:val="22"/>
        </w:rPr>
        <w:t xml:space="preserve"> o</w:t>
      </w:r>
      <w:r w:rsidR="00100394">
        <w:rPr>
          <w:rFonts w:ascii="Calibri" w:hAnsi="Calibri" w:cs="Calibri"/>
          <w:sz w:val="22"/>
          <w:szCs w:val="22"/>
        </w:rPr>
        <w:t xml:space="preserve"> </w:t>
      </w:r>
      <w:r w:rsidR="00507747">
        <w:rPr>
          <w:rFonts w:ascii="Calibri" w:hAnsi="Calibri" w:cs="Calibri"/>
          <w:sz w:val="22"/>
          <w:szCs w:val="22"/>
        </w:rPr>
        <w:t xml:space="preserve">zhruba </w:t>
      </w:r>
      <w:r w:rsidR="00100394">
        <w:rPr>
          <w:rFonts w:ascii="Calibri" w:hAnsi="Calibri" w:cs="Calibri"/>
          <w:sz w:val="22"/>
          <w:szCs w:val="22"/>
        </w:rPr>
        <w:t>10</w:t>
      </w:r>
      <w:r w:rsidR="00EA73BA">
        <w:rPr>
          <w:rFonts w:ascii="Calibri" w:hAnsi="Calibri" w:cs="Calibri"/>
          <w:sz w:val="22"/>
          <w:szCs w:val="22"/>
        </w:rPr>
        <w:t xml:space="preserve"> </w:t>
      </w:r>
      <w:r w:rsidR="00100394">
        <w:rPr>
          <w:rFonts w:ascii="Calibri" w:hAnsi="Calibri" w:cs="Calibri"/>
          <w:sz w:val="22"/>
          <w:szCs w:val="22"/>
        </w:rPr>
        <w:t xml:space="preserve">% </w:t>
      </w:r>
      <w:r w:rsidR="00EA73BA">
        <w:rPr>
          <w:rFonts w:ascii="Calibri" w:hAnsi="Calibri" w:cs="Calibri"/>
          <w:sz w:val="22"/>
          <w:szCs w:val="22"/>
        </w:rPr>
        <w:t>vyšší, než v posledním čtvrtletí roku 2021</w:t>
      </w:r>
      <w:r w:rsidR="00C257EC">
        <w:rPr>
          <w:rFonts w:ascii="Calibri" w:hAnsi="Calibri" w:cs="Calibri"/>
          <w:sz w:val="22"/>
          <w:szCs w:val="22"/>
        </w:rPr>
        <w:t>, a pokračovaly</w:t>
      </w:r>
      <w:r w:rsidR="00E57208">
        <w:rPr>
          <w:rFonts w:ascii="Calibri" w:hAnsi="Calibri" w:cs="Calibri"/>
          <w:sz w:val="22"/>
          <w:szCs w:val="22"/>
        </w:rPr>
        <w:t xml:space="preserve"> dle předběžných dat</w:t>
      </w:r>
      <w:r w:rsidR="00C257EC">
        <w:rPr>
          <w:rFonts w:ascii="Calibri" w:hAnsi="Calibri" w:cs="Calibri"/>
          <w:sz w:val="22"/>
          <w:szCs w:val="22"/>
        </w:rPr>
        <w:t xml:space="preserve"> v růstu i ve </w:t>
      </w:r>
      <w:r w:rsidR="008D1695">
        <w:rPr>
          <w:rFonts w:ascii="Calibri" w:hAnsi="Calibri" w:cs="Calibri"/>
          <w:sz w:val="22"/>
          <w:szCs w:val="22"/>
        </w:rPr>
        <w:t>3</w:t>
      </w:r>
      <w:r w:rsidR="00C257EC">
        <w:rPr>
          <w:rFonts w:ascii="Calibri" w:hAnsi="Calibri" w:cs="Calibri"/>
          <w:sz w:val="22"/>
          <w:szCs w:val="22"/>
        </w:rPr>
        <w:t>. čtvrtletí.</w:t>
      </w:r>
    </w:p>
    <w:p w14:paraId="5173F03C" w14:textId="3BD7E1E5" w:rsidR="00B04FE2" w:rsidRPr="00616069" w:rsidRDefault="00280AB4" w:rsidP="00B04FE2">
      <w:pPr>
        <w:overflowPunct/>
        <w:autoSpaceDE/>
        <w:autoSpaceDN/>
        <w:adjustRightInd/>
        <w:spacing w:after="160" w:line="259" w:lineRule="auto"/>
        <w:textAlignment w:val="auto"/>
        <w:rPr>
          <w:rFonts w:ascii="Calibri" w:hAnsi="Calibri" w:cs="Calibri"/>
          <w:sz w:val="22"/>
          <w:szCs w:val="22"/>
        </w:rPr>
      </w:pPr>
      <w:r w:rsidRPr="00EA73BA">
        <w:rPr>
          <w:rFonts w:ascii="Calibri" w:hAnsi="Calibri" w:cs="Calibri"/>
          <w:sz w:val="22"/>
          <w:szCs w:val="22"/>
        </w:rPr>
        <w:t>S</w:t>
      </w:r>
      <w:r w:rsidR="00B04FE2" w:rsidRPr="00EA73BA">
        <w:rPr>
          <w:rFonts w:ascii="Calibri" w:hAnsi="Calibri" w:cs="Calibri"/>
          <w:sz w:val="22"/>
          <w:szCs w:val="22"/>
        </w:rPr>
        <w:t>cénáře vývoje měsíční splátky pro různé délky splatnosti hypotéky udává tabulka č. 2. Z ní je patrné, že růst hypotečních sazeb o jeden procentní bod znamená pro průměrnou velikost hypotéky zvýšení měsíční splátky o</w:t>
      </w:r>
      <w:r w:rsidR="00AF1CFD" w:rsidRPr="00EA73BA">
        <w:rPr>
          <w:rFonts w:ascii="Calibri" w:hAnsi="Calibri" w:cs="Calibri"/>
          <w:sz w:val="22"/>
          <w:szCs w:val="22"/>
        </w:rPr>
        <w:t xml:space="preserve"> zhruba</w:t>
      </w:r>
      <w:r w:rsidR="00B04FE2" w:rsidRPr="00EA73BA">
        <w:rPr>
          <w:rFonts w:ascii="Calibri" w:hAnsi="Calibri" w:cs="Calibri"/>
          <w:sz w:val="22"/>
          <w:szCs w:val="22"/>
        </w:rPr>
        <w:t xml:space="preserve"> </w:t>
      </w:r>
      <w:r w:rsidR="001B39D3" w:rsidRPr="00EA73BA">
        <w:rPr>
          <w:rFonts w:ascii="Calibri" w:hAnsi="Calibri" w:cs="Calibri"/>
          <w:sz w:val="22"/>
          <w:szCs w:val="22"/>
        </w:rPr>
        <w:t xml:space="preserve">2 </w:t>
      </w:r>
      <w:r w:rsidR="00B04FE2" w:rsidRPr="00EA73BA">
        <w:rPr>
          <w:rFonts w:ascii="Calibri" w:hAnsi="Calibri" w:cs="Calibri"/>
          <w:sz w:val="22"/>
          <w:szCs w:val="22"/>
        </w:rPr>
        <w:t xml:space="preserve">tisíce Kč. Ve srovnání s 2% úrokovou sazbou, která byla na trhu běžná v dřívějších letech, </w:t>
      </w:r>
      <w:r w:rsidR="001C698F" w:rsidRPr="00EA73BA">
        <w:rPr>
          <w:rFonts w:ascii="Calibri" w:hAnsi="Calibri" w:cs="Calibri"/>
          <w:sz w:val="22"/>
          <w:szCs w:val="22"/>
        </w:rPr>
        <w:t xml:space="preserve">tak </w:t>
      </w:r>
      <w:r w:rsidR="00B04FE2" w:rsidRPr="00EA73BA">
        <w:rPr>
          <w:rFonts w:ascii="Calibri" w:hAnsi="Calibri" w:cs="Calibri"/>
          <w:sz w:val="22"/>
          <w:szCs w:val="22"/>
        </w:rPr>
        <w:t>znamená</w:t>
      </w:r>
      <w:r w:rsidR="00B10C3C" w:rsidRPr="00EA73BA">
        <w:rPr>
          <w:rFonts w:ascii="Calibri" w:hAnsi="Calibri" w:cs="Calibri"/>
          <w:sz w:val="22"/>
          <w:szCs w:val="22"/>
        </w:rPr>
        <w:t xml:space="preserve"> současná </w:t>
      </w:r>
      <w:r w:rsidR="00B04FE2" w:rsidRPr="00EA73BA">
        <w:rPr>
          <w:rFonts w:ascii="Calibri" w:hAnsi="Calibri" w:cs="Calibri"/>
          <w:sz w:val="22"/>
          <w:szCs w:val="22"/>
        </w:rPr>
        <w:t xml:space="preserve">hypoteční sazba nárůst měsíční splátky u průměrné hypotéky </w:t>
      </w:r>
      <w:r w:rsidR="00914CD2" w:rsidRPr="00EA73BA">
        <w:rPr>
          <w:rFonts w:ascii="Calibri" w:hAnsi="Calibri" w:cs="Calibri"/>
          <w:sz w:val="22"/>
          <w:szCs w:val="22"/>
        </w:rPr>
        <w:t xml:space="preserve">zhruba </w:t>
      </w:r>
      <w:r w:rsidR="00C87645" w:rsidRPr="00EA73BA">
        <w:rPr>
          <w:rFonts w:ascii="Calibri" w:hAnsi="Calibri" w:cs="Calibri"/>
          <w:sz w:val="22"/>
          <w:szCs w:val="22"/>
        </w:rPr>
        <w:t xml:space="preserve">o </w:t>
      </w:r>
      <w:r w:rsidR="003373BE" w:rsidRPr="00EA73BA">
        <w:rPr>
          <w:rFonts w:ascii="Calibri" w:hAnsi="Calibri" w:cs="Calibri"/>
          <w:sz w:val="22"/>
          <w:szCs w:val="22"/>
        </w:rPr>
        <w:t xml:space="preserve">6 </w:t>
      </w:r>
      <w:r w:rsidR="00914CD2" w:rsidRPr="00EA73BA">
        <w:rPr>
          <w:rFonts w:ascii="Calibri" w:hAnsi="Calibri" w:cs="Calibri"/>
          <w:sz w:val="22"/>
          <w:szCs w:val="22"/>
        </w:rPr>
        <w:t>ti</w:t>
      </w:r>
      <w:r w:rsidR="00B04FE2" w:rsidRPr="00EA73BA">
        <w:rPr>
          <w:rFonts w:ascii="Calibri" w:hAnsi="Calibri" w:cs="Calibri"/>
          <w:sz w:val="22"/>
          <w:szCs w:val="22"/>
        </w:rPr>
        <w:t>síc Kč.</w:t>
      </w:r>
      <w:r w:rsidR="00B04FE2" w:rsidRPr="00EA73BA">
        <w:rPr>
          <w:rStyle w:val="Znakapoznpodarou"/>
          <w:rFonts w:ascii="Calibri" w:hAnsi="Calibri" w:cs="Calibri"/>
          <w:sz w:val="22"/>
          <w:szCs w:val="22"/>
        </w:rPr>
        <w:footnoteReference w:id="2"/>
      </w:r>
      <w:r w:rsidR="00B04FE2" w:rsidRPr="00EA73BA">
        <w:rPr>
          <w:rFonts w:ascii="Calibri" w:hAnsi="Calibri" w:cs="Calibri"/>
          <w:sz w:val="22"/>
          <w:szCs w:val="22"/>
        </w:rPr>
        <w:t xml:space="preserve"> </w:t>
      </w:r>
      <w:r w:rsidR="00615685" w:rsidRPr="00EA73BA">
        <w:rPr>
          <w:rFonts w:ascii="Calibri" w:hAnsi="Calibri" w:cs="Calibri"/>
          <w:b/>
          <w:bCs/>
          <w:sz w:val="22"/>
          <w:szCs w:val="22"/>
        </w:rPr>
        <w:t xml:space="preserve">Splátka hypotéky ve výši jednoho milionu </w:t>
      </w:r>
      <w:r w:rsidR="00AB2567" w:rsidRPr="00EA73BA">
        <w:rPr>
          <w:rFonts w:ascii="Calibri" w:hAnsi="Calibri" w:cs="Calibri"/>
          <w:b/>
          <w:bCs/>
          <w:sz w:val="22"/>
          <w:szCs w:val="22"/>
        </w:rPr>
        <w:t>korun</w:t>
      </w:r>
      <w:r w:rsidR="00615685" w:rsidRPr="00EA73BA">
        <w:rPr>
          <w:rFonts w:ascii="Calibri" w:hAnsi="Calibri" w:cs="Calibri"/>
          <w:b/>
          <w:bCs/>
          <w:sz w:val="22"/>
          <w:szCs w:val="22"/>
        </w:rPr>
        <w:t xml:space="preserve"> s</w:t>
      </w:r>
      <w:r w:rsidR="00C87645" w:rsidRPr="00EA73BA">
        <w:rPr>
          <w:rFonts w:ascii="Calibri" w:hAnsi="Calibri" w:cs="Calibri"/>
          <w:b/>
          <w:bCs/>
          <w:sz w:val="22"/>
          <w:szCs w:val="22"/>
        </w:rPr>
        <w:t> </w:t>
      </w:r>
      <w:r w:rsidR="00615685" w:rsidRPr="00EA73BA">
        <w:rPr>
          <w:rFonts w:ascii="Calibri" w:hAnsi="Calibri" w:cs="Calibri"/>
          <w:b/>
          <w:bCs/>
          <w:sz w:val="22"/>
          <w:szCs w:val="22"/>
        </w:rPr>
        <w:t xml:space="preserve">30letou splatností se současnými úrokovými sazbami </w:t>
      </w:r>
      <w:r w:rsidR="00AB2567" w:rsidRPr="00EA73BA">
        <w:rPr>
          <w:rFonts w:ascii="Calibri" w:hAnsi="Calibri" w:cs="Calibri"/>
          <w:b/>
          <w:bCs/>
          <w:sz w:val="22"/>
          <w:szCs w:val="22"/>
        </w:rPr>
        <w:t xml:space="preserve">se </w:t>
      </w:r>
      <w:r w:rsidR="00615685" w:rsidRPr="00EA73BA">
        <w:rPr>
          <w:rFonts w:ascii="Calibri" w:hAnsi="Calibri" w:cs="Calibri"/>
          <w:b/>
          <w:bCs/>
          <w:sz w:val="22"/>
          <w:szCs w:val="22"/>
        </w:rPr>
        <w:t xml:space="preserve">pohybuje kolem </w:t>
      </w:r>
      <w:r w:rsidR="008B7162" w:rsidRPr="00EA73BA">
        <w:rPr>
          <w:rFonts w:ascii="Calibri" w:hAnsi="Calibri" w:cs="Calibri"/>
          <w:b/>
          <w:bCs/>
          <w:sz w:val="22"/>
          <w:szCs w:val="22"/>
        </w:rPr>
        <w:t>5,</w:t>
      </w:r>
      <w:r w:rsidR="00BD4931" w:rsidRPr="00EA73BA">
        <w:rPr>
          <w:rFonts w:ascii="Calibri" w:hAnsi="Calibri" w:cs="Calibri"/>
          <w:b/>
          <w:bCs/>
          <w:sz w:val="22"/>
          <w:szCs w:val="22"/>
        </w:rPr>
        <w:t>5</w:t>
      </w:r>
      <w:r w:rsidR="00615685" w:rsidRPr="00EA73BA">
        <w:rPr>
          <w:rFonts w:ascii="Calibri" w:hAnsi="Calibri" w:cs="Calibri"/>
          <w:b/>
          <w:bCs/>
          <w:sz w:val="22"/>
          <w:szCs w:val="22"/>
        </w:rPr>
        <w:t xml:space="preserve"> tisíc</w:t>
      </w:r>
      <w:r w:rsidR="00F25CBC" w:rsidRPr="00EA73BA">
        <w:rPr>
          <w:rFonts w:ascii="Calibri" w:hAnsi="Calibri" w:cs="Calibri"/>
          <w:b/>
          <w:bCs/>
          <w:sz w:val="22"/>
          <w:szCs w:val="22"/>
        </w:rPr>
        <w:t>e</w:t>
      </w:r>
      <w:r w:rsidR="00615685" w:rsidRPr="00EA73BA">
        <w:rPr>
          <w:rFonts w:ascii="Calibri" w:hAnsi="Calibri" w:cs="Calibri"/>
          <w:b/>
          <w:bCs/>
          <w:sz w:val="22"/>
          <w:szCs w:val="22"/>
        </w:rPr>
        <w:t xml:space="preserve"> Kč.</w:t>
      </w:r>
    </w:p>
    <w:bookmarkEnd w:id="21"/>
    <w:p w14:paraId="1A267256" w14:textId="45AF01D0" w:rsidR="009D3067" w:rsidRPr="00616069" w:rsidRDefault="009D3067" w:rsidP="007F41A0">
      <w:pPr>
        <w:overflowPunct/>
        <w:autoSpaceDE/>
        <w:autoSpaceDN/>
        <w:adjustRightInd/>
        <w:spacing w:after="160" w:line="259" w:lineRule="auto"/>
        <w:textAlignment w:val="auto"/>
        <w:rPr>
          <w:rFonts w:ascii="Calibri" w:hAnsi="Calibri" w:cs="Calibri"/>
          <w:b/>
          <w:color w:val="13576B"/>
          <w:sz w:val="23"/>
          <w:szCs w:val="23"/>
        </w:rPr>
      </w:pPr>
      <w:r w:rsidRPr="00616069">
        <w:rPr>
          <w:rFonts w:ascii="Calibri" w:hAnsi="Calibri" w:cs="Calibri"/>
          <w:b/>
          <w:color w:val="13576B"/>
          <w:sz w:val="23"/>
          <w:szCs w:val="23"/>
        </w:rPr>
        <w:t>Tabulka č. 2: Měsíční splátka průměrné hypotéky v závislosti na délce splatnosti a úrokové sazbě</w:t>
      </w:r>
    </w:p>
    <w:tbl>
      <w:tblPr>
        <w:tblW w:w="10160" w:type="dxa"/>
        <w:tblCellMar>
          <w:left w:w="70" w:type="dxa"/>
          <w:right w:w="70" w:type="dxa"/>
        </w:tblCellMar>
        <w:tblLook w:val="04A0" w:firstRow="1" w:lastRow="0" w:firstColumn="1" w:lastColumn="0" w:noHBand="0" w:noVBand="1"/>
      </w:tblPr>
      <w:tblGrid>
        <w:gridCol w:w="3969"/>
        <w:gridCol w:w="431"/>
        <w:gridCol w:w="960"/>
        <w:gridCol w:w="960"/>
        <w:gridCol w:w="960"/>
        <w:gridCol w:w="960"/>
        <w:gridCol w:w="960"/>
        <w:gridCol w:w="960"/>
      </w:tblGrid>
      <w:tr w:rsidR="00D5517C" w:rsidRPr="00616069" w14:paraId="2E0F9EE8" w14:textId="77777777" w:rsidTr="008B2AC1">
        <w:trPr>
          <w:trHeight w:val="555"/>
        </w:trPr>
        <w:tc>
          <w:tcPr>
            <w:tcW w:w="4400" w:type="dxa"/>
            <w:gridSpan w:val="2"/>
            <w:tcBorders>
              <w:top w:val="nil"/>
              <w:left w:val="nil"/>
              <w:bottom w:val="single" w:sz="4" w:space="0" w:color="auto"/>
              <w:right w:val="nil"/>
            </w:tcBorders>
            <w:shd w:val="clear" w:color="auto" w:fill="auto"/>
            <w:noWrap/>
            <w:vAlign w:val="center"/>
            <w:hideMark/>
          </w:tcPr>
          <w:p w14:paraId="0EFE9691" w14:textId="77777777" w:rsidR="00D5517C" w:rsidRPr="00616069"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velikost nové hypotéky v Kč:</w:t>
            </w:r>
          </w:p>
        </w:tc>
        <w:tc>
          <w:tcPr>
            <w:tcW w:w="960" w:type="dxa"/>
            <w:tcBorders>
              <w:top w:val="nil"/>
              <w:left w:val="nil"/>
              <w:bottom w:val="single" w:sz="4" w:space="0" w:color="auto"/>
              <w:right w:val="nil"/>
            </w:tcBorders>
            <w:shd w:val="clear" w:color="auto" w:fill="auto"/>
            <w:noWrap/>
            <w:vAlign w:val="center"/>
            <w:hideMark/>
          </w:tcPr>
          <w:p w14:paraId="57E2DFC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35B01B2E"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nil"/>
              <w:left w:val="nil"/>
              <w:bottom w:val="single" w:sz="4" w:space="0" w:color="auto"/>
              <w:right w:val="nil"/>
            </w:tcBorders>
            <w:shd w:val="clear" w:color="auto" w:fill="auto"/>
            <w:noWrap/>
            <w:vAlign w:val="center"/>
            <w:hideMark/>
          </w:tcPr>
          <w:p w14:paraId="5A6AC5C8" w14:textId="77777777" w:rsidR="00231F3A" w:rsidRDefault="005861DC"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67600645" w14:textId="77777777" w:rsidR="000F0342" w:rsidRDefault="00231F3A"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3C65C027" w14:textId="77777777" w:rsidR="007E581F" w:rsidRDefault="00490505"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400F8289" w14:textId="149CB818" w:rsidR="00490505" w:rsidRPr="00616069" w:rsidRDefault="007E581F"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r w:rsidR="00DE4BD0">
              <w:rPr>
                <w:rFonts w:ascii="Calibri Light" w:hAnsi="Calibri Light" w:cs="Calibri Light"/>
                <w:b/>
                <w:bCs/>
                <w:color w:val="000000"/>
                <w:sz w:val="22"/>
                <w:szCs w:val="22"/>
              </w:rPr>
              <w:t>3 760 561</w:t>
            </w:r>
          </w:p>
        </w:tc>
      </w:tr>
      <w:tr w:rsidR="00D375AE" w:rsidRPr="00616069" w14:paraId="3A9D14C4"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284FFBA8"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úroková sazba v %:</w:t>
            </w:r>
          </w:p>
        </w:tc>
        <w:tc>
          <w:tcPr>
            <w:tcW w:w="431" w:type="dxa"/>
            <w:tcBorders>
              <w:top w:val="nil"/>
              <w:left w:val="nil"/>
              <w:bottom w:val="single" w:sz="4" w:space="0" w:color="auto"/>
              <w:right w:val="nil"/>
            </w:tcBorders>
            <w:shd w:val="clear" w:color="auto" w:fill="auto"/>
            <w:noWrap/>
            <w:vAlign w:val="bottom"/>
            <w:hideMark/>
          </w:tcPr>
          <w:p w14:paraId="1F76198D"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10BEEE92" w14:textId="537FE1A1"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2,0</w:t>
            </w:r>
          </w:p>
        </w:tc>
        <w:tc>
          <w:tcPr>
            <w:tcW w:w="960" w:type="dxa"/>
            <w:tcBorders>
              <w:top w:val="nil"/>
              <w:left w:val="nil"/>
              <w:bottom w:val="single" w:sz="4" w:space="0" w:color="auto"/>
              <w:right w:val="nil"/>
            </w:tcBorders>
            <w:shd w:val="clear" w:color="auto" w:fill="auto"/>
            <w:noWrap/>
            <w:vAlign w:val="center"/>
            <w:hideMark/>
          </w:tcPr>
          <w:p w14:paraId="07D3214C" w14:textId="4FAC9AB5"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49B1144F" w14:textId="4BF25F94"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4,0</w:t>
            </w:r>
          </w:p>
        </w:tc>
        <w:tc>
          <w:tcPr>
            <w:tcW w:w="960" w:type="dxa"/>
            <w:tcBorders>
              <w:top w:val="nil"/>
              <w:left w:val="nil"/>
              <w:bottom w:val="single" w:sz="4" w:space="0" w:color="auto"/>
              <w:right w:val="nil"/>
            </w:tcBorders>
            <w:shd w:val="clear" w:color="000000" w:fill="DAF3EA"/>
            <w:noWrap/>
            <w:vAlign w:val="center"/>
            <w:hideMark/>
          </w:tcPr>
          <w:p w14:paraId="29650147" w14:textId="4648ED62" w:rsidR="00D375AE" w:rsidRPr="00616069" w:rsidRDefault="007E581F"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4,9</w:t>
            </w:r>
            <w:r w:rsidR="00DE4BD0">
              <w:rPr>
                <w:rFonts w:ascii="Calibri Light" w:hAnsi="Calibri Light" w:cs="Calibri Light"/>
                <w:b/>
                <w:bCs/>
                <w:color w:val="000000"/>
                <w:sz w:val="22"/>
                <w:szCs w:val="22"/>
              </w:rPr>
              <w:t>6</w:t>
            </w:r>
          </w:p>
        </w:tc>
        <w:tc>
          <w:tcPr>
            <w:tcW w:w="960" w:type="dxa"/>
            <w:tcBorders>
              <w:top w:val="nil"/>
              <w:left w:val="nil"/>
              <w:bottom w:val="single" w:sz="4" w:space="0" w:color="auto"/>
              <w:right w:val="nil"/>
            </w:tcBorders>
            <w:shd w:val="clear" w:color="000000" w:fill="FFFFFF" w:themeFill="background1"/>
            <w:noWrap/>
            <w:vAlign w:val="center"/>
            <w:hideMark/>
          </w:tcPr>
          <w:p w14:paraId="22EECDD2" w14:textId="017900A1" w:rsidR="00D375AE" w:rsidRPr="00616069" w:rsidRDefault="005861DC"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6,0</w:t>
            </w:r>
          </w:p>
        </w:tc>
        <w:tc>
          <w:tcPr>
            <w:tcW w:w="960" w:type="dxa"/>
            <w:tcBorders>
              <w:top w:val="nil"/>
              <w:left w:val="nil"/>
              <w:bottom w:val="single" w:sz="4" w:space="0" w:color="auto"/>
              <w:right w:val="nil"/>
            </w:tcBorders>
            <w:shd w:val="clear" w:color="auto" w:fill="auto"/>
            <w:noWrap/>
            <w:vAlign w:val="center"/>
            <w:hideMark/>
          </w:tcPr>
          <w:p w14:paraId="3E5AC0A3" w14:textId="753D666A"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7,0</w:t>
            </w:r>
          </w:p>
        </w:tc>
      </w:tr>
      <w:tr w:rsidR="00D5517C" w:rsidRPr="00616069" w14:paraId="4905349F" w14:textId="77777777" w:rsidTr="00F45EB3">
        <w:trPr>
          <w:trHeight w:val="300"/>
        </w:trPr>
        <w:tc>
          <w:tcPr>
            <w:tcW w:w="3969" w:type="dxa"/>
            <w:tcBorders>
              <w:top w:val="nil"/>
              <w:left w:val="nil"/>
              <w:bottom w:val="nil"/>
              <w:right w:val="nil"/>
            </w:tcBorders>
            <w:shd w:val="clear" w:color="auto" w:fill="auto"/>
            <w:noWrap/>
            <w:vAlign w:val="bottom"/>
            <w:hideMark/>
          </w:tcPr>
          <w:p w14:paraId="37327E1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431" w:type="dxa"/>
            <w:tcBorders>
              <w:top w:val="nil"/>
              <w:left w:val="nil"/>
              <w:bottom w:val="nil"/>
              <w:right w:val="nil"/>
            </w:tcBorders>
            <w:shd w:val="clear" w:color="auto" w:fill="auto"/>
            <w:noWrap/>
            <w:vAlign w:val="bottom"/>
            <w:hideMark/>
          </w:tcPr>
          <w:p w14:paraId="271C1EDC"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D8A3F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E17A7A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616069"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Měsíční splátka:</w:t>
            </w:r>
          </w:p>
        </w:tc>
      </w:tr>
      <w:tr w:rsidR="00DE4BD0" w:rsidRPr="00616069" w14:paraId="0A342D01" w14:textId="77777777" w:rsidTr="005861DC">
        <w:trPr>
          <w:trHeight w:val="300"/>
        </w:trPr>
        <w:tc>
          <w:tcPr>
            <w:tcW w:w="3969" w:type="dxa"/>
            <w:tcBorders>
              <w:top w:val="nil"/>
              <w:left w:val="nil"/>
              <w:bottom w:val="nil"/>
              <w:right w:val="nil"/>
            </w:tcBorders>
            <w:shd w:val="clear" w:color="auto" w:fill="auto"/>
            <w:noWrap/>
            <w:vAlign w:val="bottom"/>
            <w:hideMark/>
          </w:tcPr>
          <w:p w14:paraId="67C08443" w14:textId="77777777" w:rsidR="00DE4BD0" w:rsidRPr="00616069" w:rsidRDefault="00DE4BD0" w:rsidP="00DE4BD0">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Splatnost hypotéky v letech:</w:t>
            </w:r>
          </w:p>
        </w:tc>
        <w:tc>
          <w:tcPr>
            <w:tcW w:w="431" w:type="dxa"/>
            <w:tcBorders>
              <w:top w:val="nil"/>
              <w:left w:val="nil"/>
              <w:bottom w:val="nil"/>
              <w:right w:val="nil"/>
            </w:tcBorders>
            <w:shd w:val="clear" w:color="auto" w:fill="auto"/>
            <w:noWrap/>
            <w:vAlign w:val="bottom"/>
            <w:hideMark/>
          </w:tcPr>
          <w:p w14:paraId="5F9EE9A3"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15</w:t>
            </w:r>
          </w:p>
        </w:tc>
        <w:tc>
          <w:tcPr>
            <w:tcW w:w="960" w:type="dxa"/>
            <w:tcBorders>
              <w:top w:val="nil"/>
              <w:left w:val="nil"/>
              <w:bottom w:val="nil"/>
              <w:right w:val="nil"/>
            </w:tcBorders>
            <w:shd w:val="clear" w:color="auto" w:fill="auto"/>
            <w:noWrap/>
            <w:vAlign w:val="center"/>
            <w:hideMark/>
          </w:tcPr>
          <w:p w14:paraId="6E75F03F" w14:textId="3C911E47"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24 200</w:t>
            </w:r>
          </w:p>
        </w:tc>
        <w:tc>
          <w:tcPr>
            <w:tcW w:w="960" w:type="dxa"/>
            <w:tcBorders>
              <w:top w:val="nil"/>
              <w:left w:val="nil"/>
              <w:bottom w:val="nil"/>
              <w:right w:val="nil"/>
            </w:tcBorders>
            <w:shd w:val="clear" w:color="auto" w:fill="auto"/>
            <w:noWrap/>
            <w:vAlign w:val="center"/>
            <w:hideMark/>
          </w:tcPr>
          <w:p w14:paraId="3D8E9F84" w14:textId="01BC9641"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25 970</w:t>
            </w:r>
          </w:p>
        </w:tc>
        <w:tc>
          <w:tcPr>
            <w:tcW w:w="960" w:type="dxa"/>
            <w:tcBorders>
              <w:top w:val="nil"/>
              <w:left w:val="nil"/>
              <w:bottom w:val="nil"/>
              <w:right w:val="nil"/>
            </w:tcBorders>
            <w:shd w:val="clear" w:color="auto" w:fill="auto"/>
            <w:noWrap/>
            <w:vAlign w:val="center"/>
            <w:hideMark/>
          </w:tcPr>
          <w:p w14:paraId="238A63E5" w14:textId="465A7339"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27 816</w:t>
            </w:r>
          </w:p>
        </w:tc>
        <w:tc>
          <w:tcPr>
            <w:tcW w:w="960" w:type="dxa"/>
            <w:tcBorders>
              <w:top w:val="nil"/>
              <w:left w:val="nil"/>
              <w:bottom w:val="nil"/>
              <w:right w:val="nil"/>
            </w:tcBorders>
            <w:shd w:val="clear" w:color="auto" w:fill="DAF3EA"/>
            <w:noWrap/>
            <w:vAlign w:val="center"/>
            <w:hideMark/>
          </w:tcPr>
          <w:p w14:paraId="0F2712F9" w14:textId="6FB30B24" w:rsidR="00DE4BD0" w:rsidRPr="00483136" w:rsidRDefault="00DE4BD0" w:rsidP="00DE4BD0">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29 653</w:t>
            </w:r>
          </w:p>
        </w:tc>
        <w:tc>
          <w:tcPr>
            <w:tcW w:w="960" w:type="dxa"/>
            <w:tcBorders>
              <w:top w:val="nil"/>
              <w:left w:val="nil"/>
              <w:bottom w:val="nil"/>
              <w:right w:val="nil"/>
            </w:tcBorders>
            <w:shd w:val="clear" w:color="000000" w:fill="FFFFFF" w:themeFill="background1"/>
            <w:noWrap/>
            <w:vAlign w:val="center"/>
            <w:hideMark/>
          </w:tcPr>
          <w:p w14:paraId="690F9892" w14:textId="418B65F1"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31 734</w:t>
            </w:r>
          </w:p>
        </w:tc>
        <w:tc>
          <w:tcPr>
            <w:tcW w:w="960" w:type="dxa"/>
            <w:tcBorders>
              <w:top w:val="nil"/>
              <w:left w:val="nil"/>
              <w:bottom w:val="nil"/>
              <w:right w:val="nil"/>
            </w:tcBorders>
            <w:shd w:val="clear" w:color="auto" w:fill="auto"/>
            <w:noWrap/>
            <w:vAlign w:val="center"/>
            <w:hideMark/>
          </w:tcPr>
          <w:p w14:paraId="165D0922" w14:textId="7DA0DE54"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33 801</w:t>
            </w:r>
          </w:p>
        </w:tc>
      </w:tr>
      <w:tr w:rsidR="00DE4BD0" w:rsidRPr="00616069" w14:paraId="4A78BEF2" w14:textId="77777777" w:rsidTr="005861DC">
        <w:trPr>
          <w:trHeight w:val="300"/>
        </w:trPr>
        <w:tc>
          <w:tcPr>
            <w:tcW w:w="3969" w:type="dxa"/>
            <w:tcBorders>
              <w:top w:val="nil"/>
              <w:left w:val="nil"/>
              <w:bottom w:val="nil"/>
              <w:right w:val="nil"/>
            </w:tcBorders>
            <w:shd w:val="clear" w:color="auto" w:fill="auto"/>
            <w:noWrap/>
            <w:vAlign w:val="bottom"/>
            <w:hideMark/>
          </w:tcPr>
          <w:p w14:paraId="0EAF3610"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72B9CE37"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20</w:t>
            </w:r>
          </w:p>
        </w:tc>
        <w:tc>
          <w:tcPr>
            <w:tcW w:w="960" w:type="dxa"/>
            <w:tcBorders>
              <w:top w:val="nil"/>
              <w:left w:val="nil"/>
              <w:bottom w:val="nil"/>
              <w:right w:val="nil"/>
            </w:tcBorders>
            <w:shd w:val="clear" w:color="auto" w:fill="auto"/>
            <w:noWrap/>
            <w:vAlign w:val="center"/>
            <w:hideMark/>
          </w:tcPr>
          <w:p w14:paraId="5D28FBFB" w14:textId="4AD1FAA9"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19 024</w:t>
            </w:r>
          </w:p>
        </w:tc>
        <w:tc>
          <w:tcPr>
            <w:tcW w:w="960" w:type="dxa"/>
            <w:tcBorders>
              <w:top w:val="nil"/>
              <w:left w:val="nil"/>
              <w:bottom w:val="nil"/>
              <w:right w:val="nil"/>
            </w:tcBorders>
            <w:shd w:val="clear" w:color="auto" w:fill="auto"/>
            <w:noWrap/>
            <w:vAlign w:val="center"/>
            <w:hideMark/>
          </w:tcPr>
          <w:p w14:paraId="0857AA86" w14:textId="6C1D1D76"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20 856</w:t>
            </w:r>
          </w:p>
        </w:tc>
        <w:tc>
          <w:tcPr>
            <w:tcW w:w="960" w:type="dxa"/>
            <w:tcBorders>
              <w:top w:val="nil"/>
              <w:left w:val="nil"/>
              <w:bottom w:val="nil"/>
              <w:right w:val="nil"/>
            </w:tcBorders>
            <w:shd w:val="clear" w:color="auto" w:fill="auto"/>
            <w:noWrap/>
            <w:vAlign w:val="center"/>
            <w:hideMark/>
          </w:tcPr>
          <w:p w14:paraId="26357E18" w14:textId="0266567D"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22 788</w:t>
            </w:r>
          </w:p>
        </w:tc>
        <w:tc>
          <w:tcPr>
            <w:tcW w:w="960" w:type="dxa"/>
            <w:tcBorders>
              <w:top w:val="nil"/>
              <w:left w:val="nil"/>
              <w:bottom w:val="nil"/>
              <w:right w:val="nil"/>
            </w:tcBorders>
            <w:shd w:val="clear" w:color="auto" w:fill="DAF3EA"/>
            <w:noWrap/>
            <w:vAlign w:val="center"/>
            <w:hideMark/>
          </w:tcPr>
          <w:p w14:paraId="6D332706" w14:textId="36F3D29A" w:rsidR="00DE4BD0" w:rsidRPr="00483136" w:rsidRDefault="00DE4BD0" w:rsidP="00DE4BD0">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24 728</w:t>
            </w:r>
          </w:p>
        </w:tc>
        <w:tc>
          <w:tcPr>
            <w:tcW w:w="960" w:type="dxa"/>
            <w:tcBorders>
              <w:top w:val="nil"/>
              <w:left w:val="nil"/>
              <w:bottom w:val="nil"/>
              <w:right w:val="nil"/>
            </w:tcBorders>
            <w:shd w:val="clear" w:color="000000" w:fill="FFFFFF" w:themeFill="background1"/>
            <w:noWrap/>
            <w:vAlign w:val="center"/>
            <w:hideMark/>
          </w:tcPr>
          <w:p w14:paraId="5E6CF5E2" w14:textId="1F4AC970"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26 942</w:t>
            </w:r>
          </w:p>
        </w:tc>
        <w:tc>
          <w:tcPr>
            <w:tcW w:w="960" w:type="dxa"/>
            <w:tcBorders>
              <w:top w:val="nil"/>
              <w:left w:val="nil"/>
              <w:bottom w:val="nil"/>
              <w:right w:val="nil"/>
            </w:tcBorders>
            <w:shd w:val="clear" w:color="auto" w:fill="auto"/>
            <w:noWrap/>
            <w:vAlign w:val="center"/>
            <w:hideMark/>
          </w:tcPr>
          <w:p w14:paraId="1521BDBD" w14:textId="184D4BE4"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29 156</w:t>
            </w:r>
          </w:p>
        </w:tc>
      </w:tr>
      <w:tr w:rsidR="00DE4BD0" w:rsidRPr="00616069" w14:paraId="6CF32913" w14:textId="77777777" w:rsidTr="005861DC">
        <w:trPr>
          <w:trHeight w:val="300"/>
        </w:trPr>
        <w:tc>
          <w:tcPr>
            <w:tcW w:w="3969" w:type="dxa"/>
            <w:tcBorders>
              <w:top w:val="nil"/>
              <w:left w:val="nil"/>
              <w:bottom w:val="nil"/>
              <w:right w:val="nil"/>
            </w:tcBorders>
            <w:shd w:val="clear" w:color="auto" w:fill="auto"/>
            <w:noWrap/>
            <w:vAlign w:val="bottom"/>
            <w:hideMark/>
          </w:tcPr>
          <w:p w14:paraId="1542281A"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26092D49"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25</w:t>
            </w:r>
          </w:p>
        </w:tc>
        <w:tc>
          <w:tcPr>
            <w:tcW w:w="960" w:type="dxa"/>
            <w:tcBorders>
              <w:top w:val="nil"/>
              <w:left w:val="nil"/>
              <w:bottom w:val="nil"/>
              <w:right w:val="nil"/>
            </w:tcBorders>
            <w:shd w:val="clear" w:color="auto" w:fill="auto"/>
            <w:noWrap/>
            <w:vAlign w:val="center"/>
            <w:hideMark/>
          </w:tcPr>
          <w:p w14:paraId="491B1A11" w14:textId="0E6C199C"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15 939</w:t>
            </w:r>
          </w:p>
        </w:tc>
        <w:tc>
          <w:tcPr>
            <w:tcW w:w="960" w:type="dxa"/>
            <w:tcBorders>
              <w:top w:val="nil"/>
              <w:left w:val="nil"/>
              <w:bottom w:val="nil"/>
              <w:right w:val="nil"/>
            </w:tcBorders>
            <w:shd w:val="clear" w:color="auto" w:fill="auto"/>
            <w:noWrap/>
            <w:vAlign w:val="center"/>
            <w:hideMark/>
          </w:tcPr>
          <w:p w14:paraId="2FC3E222" w14:textId="1A356B95"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17 833</w:t>
            </w:r>
          </w:p>
        </w:tc>
        <w:tc>
          <w:tcPr>
            <w:tcW w:w="960" w:type="dxa"/>
            <w:tcBorders>
              <w:top w:val="nil"/>
              <w:left w:val="nil"/>
              <w:bottom w:val="nil"/>
              <w:right w:val="nil"/>
            </w:tcBorders>
            <w:shd w:val="clear" w:color="auto" w:fill="auto"/>
            <w:noWrap/>
            <w:vAlign w:val="center"/>
            <w:hideMark/>
          </w:tcPr>
          <w:p w14:paraId="08C6F1AB" w14:textId="0619347B"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19 850</w:t>
            </w:r>
          </w:p>
        </w:tc>
        <w:tc>
          <w:tcPr>
            <w:tcW w:w="960" w:type="dxa"/>
            <w:tcBorders>
              <w:top w:val="nil"/>
              <w:left w:val="nil"/>
              <w:bottom w:val="nil"/>
              <w:right w:val="nil"/>
            </w:tcBorders>
            <w:shd w:val="clear" w:color="auto" w:fill="DAF3EA"/>
            <w:noWrap/>
            <w:vAlign w:val="center"/>
            <w:hideMark/>
          </w:tcPr>
          <w:p w14:paraId="5331F341" w14:textId="44AAAF6E" w:rsidR="00DE4BD0" w:rsidRPr="00483136" w:rsidRDefault="00DE4BD0" w:rsidP="00DE4BD0">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21 889</w:t>
            </w:r>
          </w:p>
        </w:tc>
        <w:tc>
          <w:tcPr>
            <w:tcW w:w="960" w:type="dxa"/>
            <w:tcBorders>
              <w:top w:val="nil"/>
              <w:left w:val="nil"/>
              <w:bottom w:val="nil"/>
              <w:right w:val="nil"/>
            </w:tcBorders>
            <w:shd w:val="clear" w:color="000000" w:fill="FFFFFF" w:themeFill="background1"/>
            <w:noWrap/>
            <w:vAlign w:val="center"/>
            <w:hideMark/>
          </w:tcPr>
          <w:p w14:paraId="3E4DDF0D" w14:textId="4DB9115E"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24 229</w:t>
            </w:r>
          </w:p>
        </w:tc>
        <w:tc>
          <w:tcPr>
            <w:tcW w:w="960" w:type="dxa"/>
            <w:tcBorders>
              <w:top w:val="nil"/>
              <w:left w:val="nil"/>
              <w:bottom w:val="nil"/>
              <w:right w:val="nil"/>
            </w:tcBorders>
            <w:shd w:val="clear" w:color="auto" w:fill="auto"/>
            <w:noWrap/>
            <w:vAlign w:val="center"/>
            <w:hideMark/>
          </w:tcPr>
          <w:p w14:paraId="4C72D8C7" w14:textId="4C4AD0D2"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26 579</w:t>
            </w:r>
          </w:p>
        </w:tc>
      </w:tr>
      <w:tr w:rsidR="00DE4BD0" w:rsidRPr="00616069" w14:paraId="46B86678"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477BB57D" w14:textId="77777777" w:rsidR="00DE4BD0" w:rsidRPr="00616069" w:rsidRDefault="00DE4BD0" w:rsidP="00DE4BD0">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431" w:type="dxa"/>
            <w:tcBorders>
              <w:top w:val="nil"/>
              <w:left w:val="nil"/>
              <w:bottom w:val="single" w:sz="4" w:space="0" w:color="auto"/>
              <w:right w:val="nil"/>
            </w:tcBorders>
            <w:shd w:val="clear" w:color="auto" w:fill="auto"/>
            <w:noWrap/>
            <w:vAlign w:val="bottom"/>
            <w:hideMark/>
          </w:tcPr>
          <w:p w14:paraId="6FEE525A" w14:textId="77777777" w:rsidR="00DE4BD0" w:rsidRPr="00616069" w:rsidRDefault="00DE4BD0" w:rsidP="00DE4BD0">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24DA2DA6" w14:textId="611D983A"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13 900</w:t>
            </w:r>
          </w:p>
        </w:tc>
        <w:tc>
          <w:tcPr>
            <w:tcW w:w="960" w:type="dxa"/>
            <w:tcBorders>
              <w:top w:val="nil"/>
              <w:left w:val="nil"/>
              <w:bottom w:val="single" w:sz="4" w:space="0" w:color="auto"/>
              <w:right w:val="nil"/>
            </w:tcBorders>
            <w:shd w:val="clear" w:color="auto" w:fill="auto"/>
            <w:noWrap/>
            <w:vAlign w:val="center"/>
            <w:hideMark/>
          </w:tcPr>
          <w:p w14:paraId="611602F5" w14:textId="28B096C3"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15 855</w:t>
            </w:r>
          </w:p>
        </w:tc>
        <w:tc>
          <w:tcPr>
            <w:tcW w:w="960" w:type="dxa"/>
            <w:tcBorders>
              <w:top w:val="nil"/>
              <w:left w:val="nil"/>
              <w:bottom w:val="single" w:sz="4" w:space="0" w:color="auto"/>
              <w:right w:val="nil"/>
            </w:tcBorders>
            <w:shd w:val="clear" w:color="auto" w:fill="auto"/>
            <w:noWrap/>
            <w:vAlign w:val="center"/>
            <w:hideMark/>
          </w:tcPr>
          <w:p w14:paraId="247C600D" w14:textId="723783A0"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17 953</w:t>
            </w:r>
          </w:p>
        </w:tc>
        <w:tc>
          <w:tcPr>
            <w:tcW w:w="960" w:type="dxa"/>
            <w:tcBorders>
              <w:top w:val="nil"/>
              <w:left w:val="nil"/>
              <w:bottom w:val="single" w:sz="4" w:space="0" w:color="auto"/>
              <w:right w:val="nil"/>
            </w:tcBorders>
            <w:shd w:val="clear" w:color="auto" w:fill="DAF3EA"/>
            <w:noWrap/>
            <w:vAlign w:val="center"/>
            <w:hideMark/>
          </w:tcPr>
          <w:p w14:paraId="527D8D8A" w14:textId="568A47F5" w:rsidR="00DE4BD0" w:rsidRPr="00483136" w:rsidRDefault="00DE4BD0" w:rsidP="00DE4BD0">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20 088</w:t>
            </w:r>
          </w:p>
        </w:tc>
        <w:tc>
          <w:tcPr>
            <w:tcW w:w="960" w:type="dxa"/>
            <w:tcBorders>
              <w:top w:val="nil"/>
              <w:left w:val="nil"/>
              <w:bottom w:val="single" w:sz="4" w:space="0" w:color="auto"/>
              <w:right w:val="nil"/>
            </w:tcBorders>
            <w:shd w:val="clear" w:color="000000" w:fill="FFFFFF" w:themeFill="background1"/>
            <w:noWrap/>
            <w:vAlign w:val="center"/>
            <w:hideMark/>
          </w:tcPr>
          <w:p w14:paraId="35ABD787" w14:textId="5B264CA5"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22 546</w:t>
            </w:r>
          </w:p>
        </w:tc>
        <w:tc>
          <w:tcPr>
            <w:tcW w:w="960" w:type="dxa"/>
            <w:tcBorders>
              <w:top w:val="nil"/>
              <w:left w:val="nil"/>
              <w:bottom w:val="single" w:sz="4" w:space="0" w:color="auto"/>
              <w:right w:val="nil"/>
            </w:tcBorders>
            <w:shd w:val="clear" w:color="auto" w:fill="auto"/>
            <w:noWrap/>
            <w:vAlign w:val="center"/>
            <w:hideMark/>
          </w:tcPr>
          <w:p w14:paraId="1C781B34" w14:textId="1A6B93D1" w:rsidR="00DE4BD0" w:rsidRPr="00616069" w:rsidRDefault="00DE4BD0" w:rsidP="00DE4BD0">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25 019</w:t>
            </w:r>
          </w:p>
        </w:tc>
      </w:tr>
      <w:tr w:rsidR="00D5517C" w:rsidRPr="00616069" w14:paraId="58395EC8" w14:textId="77777777" w:rsidTr="00F45EB3">
        <w:trPr>
          <w:trHeight w:val="300"/>
        </w:trPr>
        <w:tc>
          <w:tcPr>
            <w:tcW w:w="3969" w:type="dxa"/>
            <w:tcBorders>
              <w:top w:val="nil"/>
              <w:left w:val="nil"/>
              <w:bottom w:val="nil"/>
              <w:right w:val="nil"/>
            </w:tcBorders>
            <w:shd w:val="clear" w:color="auto" w:fill="auto"/>
            <w:noWrap/>
            <w:vAlign w:val="bottom"/>
            <w:hideMark/>
          </w:tcPr>
          <w:p w14:paraId="2B3FD57F"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Pramen: ČBA</w:t>
            </w:r>
          </w:p>
        </w:tc>
        <w:tc>
          <w:tcPr>
            <w:tcW w:w="431" w:type="dxa"/>
            <w:tcBorders>
              <w:top w:val="nil"/>
              <w:left w:val="nil"/>
              <w:bottom w:val="nil"/>
              <w:right w:val="nil"/>
            </w:tcBorders>
            <w:shd w:val="clear" w:color="auto" w:fill="auto"/>
            <w:noWrap/>
            <w:vAlign w:val="bottom"/>
            <w:hideMark/>
          </w:tcPr>
          <w:p w14:paraId="4AEE430D"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p>
        </w:tc>
        <w:tc>
          <w:tcPr>
            <w:tcW w:w="960" w:type="dxa"/>
            <w:tcBorders>
              <w:top w:val="nil"/>
              <w:left w:val="nil"/>
              <w:bottom w:val="nil"/>
              <w:right w:val="nil"/>
            </w:tcBorders>
            <w:shd w:val="clear" w:color="auto" w:fill="auto"/>
            <w:noWrap/>
            <w:vAlign w:val="bottom"/>
            <w:hideMark/>
          </w:tcPr>
          <w:p w14:paraId="318F225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B261F0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0822AAF"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CAC6A2A" w14:textId="77777777" w:rsidR="00D5517C" w:rsidRPr="00483136" w:rsidRDefault="00D5517C" w:rsidP="00483136">
            <w:pPr>
              <w:overflowPunct/>
              <w:autoSpaceDE/>
              <w:autoSpaceDN/>
              <w:adjustRightInd/>
              <w:jc w:val="center"/>
              <w:textAlignment w:val="auto"/>
              <w:rPr>
                <w:rFonts w:ascii="Calibri Light" w:hAnsi="Calibri Light" w:cs="Calibri Light"/>
                <w:color w:val="000000"/>
                <w:sz w:val="22"/>
                <w:szCs w:val="22"/>
              </w:rPr>
            </w:pPr>
          </w:p>
        </w:tc>
        <w:tc>
          <w:tcPr>
            <w:tcW w:w="960" w:type="dxa"/>
            <w:tcBorders>
              <w:top w:val="nil"/>
              <w:left w:val="nil"/>
              <w:bottom w:val="nil"/>
              <w:right w:val="nil"/>
            </w:tcBorders>
            <w:shd w:val="clear" w:color="auto" w:fill="auto"/>
            <w:noWrap/>
            <w:vAlign w:val="bottom"/>
            <w:hideMark/>
          </w:tcPr>
          <w:p w14:paraId="7D71D15A"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27972E4" w14:textId="77777777" w:rsidR="00D5517C" w:rsidRPr="00616069" w:rsidRDefault="00D5517C" w:rsidP="00D5517C">
            <w:pPr>
              <w:overflowPunct/>
              <w:autoSpaceDE/>
              <w:autoSpaceDN/>
              <w:adjustRightInd/>
              <w:jc w:val="left"/>
              <w:textAlignment w:val="auto"/>
              <w:rPr>
                <w:rFonts w:ascii="Times New Roman" w:hAnsi="Times New Roman"/>
                <w:sz w:val="20"/>
              </w:rPr>
            </w:pPr>
          </w:p>
        </w:tc>
      </w:tr>
      <w:tr w:rsidR="00D5517C" w:rsidRPr="00616069" w14:paraId="17E5FF51" w14:textId="77777777" w:rsidTr="008B2AC1">
        <w:trPr>
          <w:trHeight w:val="300"/>
        </w:trPr>
        <w:tc>
          <w:tcPr>
            <w:tcW w:w="10160" w:type="dxa"/>
            <w:gridSpan w:val="8"/>
            <w:tcBorders>
              <w:top w:val="nil"/>
              <w:left w:val="nil"/>
              <w:bottom w:val="nil"/>
              <w:right w:val="nil"/>
            </w:tcBorders>
            <w:shd w:val="clear" w:color="auto" w:fill="auto"/>
            <w:noWrap/>
            <w:vAlign w:val="bottom"/>
            <w:hideMark/>
          </w:tcPr>
          <w:p w14:paraId="2BF60336"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Pozn.: barevný sloupec odpovídá úrokové sazbě posledního ČBA Hypomonitoru, ostatní sazby jsou ilustrační</w:t>
            </w:r>
          </w:p>
        </w:tc>
      </w:tr>
    </w:tbl>
    <w:p w14:paraId="058F8495" w14:textId="77777777" w:rsidR="0000226C" w:rsidRPr="00616069" w:rsidRDefault="0000226C" w:rsidP="003417B4">
      <w:pPr>
        <w:rPr>
          <w:rFonts w:ascii="Calibri" w:hAnsi="Calibri" w:cs="Calibri"/>
          <w:b/>
          <w:color w:val="13576B"/>
          <w:sz w:val="24"/>
          <w:szCs w:val="24"/>
        </w:rPr>
      </w:pPr>
    </w:p>
    <w:p w14:paraId="4ACCC723" w14:textId="77777777" w:rsidR="00B44209" w:rsidRDefault="00B44209" w:rsidP="003E393C">
      <w:pPr>
        <w:rPr>
          <w:rFonts w:ascii="Calibri" w:hAnsi="Calibri" w:cs="Calibri"/>
          <w:b/>
          <w:color w:val="13576B"/>
          <w:sz w:val="24"/>
          <w:szCs w:val="24"/>
        </w:rPr>
      </w:pPr>
    </w:p>
    <w:p w14:paraId="7D566DD6" w14:textId="2D006488" w:rsidR="00B44209" w:rsidRDefault="00B44209">
      <w:pPr>
        <w:overflowPunct/>
        <w:autoSpaceDE/>
        <w:autoSpaceDN/>
        <w:adjustRightInd/>
        <w:spacing w:after="160" w:line="259" w:lineRule="auto"/>
        <w:jc w:val="left"/>
        <w:textAlignment w:val="auto"/>
        <w:rPr>
          <w:rFonts w:ascii="Calibri" w:hAnsi="Calibri" w:cs="Calibri"/>
          <w:b/>
          <w:color w:val="13576B"/>
          <w:sz w:val="24"/>
          <w:szCs w:val="24"/>
        </w:rPr>
      </w:pPr>
      <w:r>
        <w:rPr>
          <w:rFonts w:ascii="Calibri" w:hAnsi="Calibri" w:cs="Calibri"/>
          <w:b/>
          <w:color w:val="13576B"/>
          <w:sz w:val="24"/>
          <w:szCs w:val="24"/>
        </w:rPr>
        <w:br w:type="page"/>
      </w:r>
    </w:p>
    <w:p w14:paraId="333B7C8E" w14:textId="7C2A4999" w:rsidR="003E393C" w:rsidRPr="00616069" w:rsidRDefault="003E393C" w:rsidP="003E393C">
      <w:pPr>
        <w:rPr>
          <w:rFonts w:ascii="Calibri" w:hAnsi="Calibri" w:cs="Calibri"/>
          <w:b/>
          <w:color w:val="13576B"/>
          <w:sz w:val="24"/>
          <w:szCs w:val="24"/>
        </w:rPr>
      </w:pPr>
      <w:r w:rsidRPr="00616069">
        <w:rPr>
          <w:rFonts w:ascii="Calibri" w:hAnsi="Calibri" w:cs="Calibri"/>
          <w:b/>
          <w:color w:val="13576B"/>
          <w:sz w:val="24"/>
          <w:szCs w:val="24"/>
        </w:rPr>
        <w:lastRenderedPageBreak/>
        <w:t>Za celý rok 2023 se propadla aktivita na hypotečním trhu o čtvrtinu</w:t>
      </w:r>
    </w:p>
    <w:p w14:paraId="0C26148D" w14:textId="77777777" w:rsidR="003E393C" w:rsidRPr="00616069" w:rsidRDefault="003E393C" w:rsidP="003E393C">
      <w:pPr>
        <w:rPr>
          <w:rFonts w:ascii="Calibri" w:hAnsi="Calibri" w:cs="Calibri"/>
          <w:sz w:val="22"/>
          <w:szCs w:val="22"/>
        </w:rPr>
      </w:pPr>
      <w:r w:rsidRPr="00616069">
        <w:rPr>
          <w:rFonts w:ascii="Calibri" w:hAnsi="Calibri" w:cs="Calibri"/>
          <w:b/>
          <w:bCs/>
          <w:sz w:val="22"/>
          <w:szCs w:val="22"/>
        </w:rPr>
        <w:t>Za celý rok 2023 poskytly banky a stavební spořitelny hypoteční úvěry v objemu 150 mld. Kč,</w:t>
      </w:r>
      <w:r w:rsidRPr="00616069">
        <w:rPr>
          <w:rFonts w:ascii="Calibri" w:hAnsi="Calibri" w:cs="Calibri"/>
          <w:sz w:val="22"/>
          <w:szCs w:val="22"/>
        </w:rPr>
        <w:t xml:space="preserve"> z toho čistě nové </w:t>
      </w:r>
      <w:r w:rsidRPr="00616069">
        <w:rPr>
          <w:rFonts w:ascii="Calibri" w:hAnsi="Calibri" w:cs="Calibri"/>
          <w:b/>
          <w:bCs/>
          <w:sz w:val="22"/>
          <w:szCs w:val="22"/>
        </w:rPr>
        <w:t>úvěry bez refinancování činily 124 mld. Kč</w:t>
      </w:r>
      <w:r w:rsidRPr="00616069">
        <w:rPr>
          <w:rFonts w:ascii="Calibri" w:hAnsi="Calibri" w:cs="Calibri"/>
          <w:sz w:val="22"/>
          <w:szCs w:val="22"/>
        </w:rPr>
        <w:t xml:space="preserve">. Meziročně se jednalo o propad ve výši 24 %. To je dáno zejména skutečností, že první polovina roku 2022 byla stále z pohledu poskytnutých hypoték silná a na meziroční srovnání tak působí vyšší srovnávací základna z tohoto období. Za první polovinu roku 2023 se tak poskytlo meziročně o 50 % méně hypoték, za druhou polovinu roku 2023 naopak přes 50 % více. Ve srovnání s předpandemickými roky 2017-2019 byl objem poskytnutých hypoték v roce 2023 zhruba o třetinu nižší. </w:t>
      </w:r>
    </w:p>
    <w:p w14:paraId="2BEF2B35" w14:textId="77777777" w:rsidR="003E393C" w:rsidRPr="00616069" w:rsidRDefault="003E393C" w:rsidP="003E393C">
      <w:pPr>
        <w:rPr>
          <w:rFonts w:ascii="Calibri" w:hAnsi="Calibri" w:cs="Calibri"/>
          <w:b/>
          <w:color w:val="13576B"/>
          <w:sz w:val="23"/>
          <w:szCs w:val="23"/>
        </w:rPr>
      </w:pPr>
    </w:p>
    <w:p w14:paraId="5FD17B82" w14:textId="77777777" w:rsidR="005F105B" w:rsidRPr="00616069" w:rsidRDefault="005F105B" w:rsidP="003E393C">
      <w:pPr>
        <w:rPr>
          <w:rFonts w:ascii="Calibri" w:hAnsi="Calibri" w:cs="Calibri"/>
          <w:b/>
          <w:color w:val="13576B"/>
          <w:sz w:val="23"/>
          <w:szCs w:val="23"/>
        </w:rPr>
      </w:pPr>
    </w:p>
    <w:p w14:paraId="11595CC2" w14:textId="336517A3" w:rsidR="003E393C" w:rsidRPr="00616069" w:rsidRDefault="003E393C" w:rsidP="003E393C">
      <w:pPr>
        <w:rPr>
          <w:rFonts w:ascii="Calibri" w:hAnsi="Calibri" w:cs="Calibri"/>
          <w:sz w:val="22"/>
          <w:szCs w:val="22"/>
        </w:rPr>
      </w:pPr>
      <w:r w:rsidRPr="00616069">
        <w:rPr>
          <w:rFonts w:ascii="Calibri" w:hAnsi="Calibri" w:cs="Calibri"/>
          <w:b/>
          <w:color w:val="13576B"/>
          <w:sz w:val="23"/>
          <w:szCs w:val="23"/>
        </w:rPr>
        <w:t xml:space="preserve">Graf č. </w:t>
      </w:r>
      <w:r w:rsidR="0010371D" w:rsidRPr="00616069">
        <w:rPr>
          <w:rFonts w:ascii="Calibri" w:hAnsi="Calibri" w:cs="Calibri"/>
          <w:b/>
          <w:color w:val="13576B"/>
          <w:sz w:val="23"/>
          <w:szCs w:val="23"/>
        </w:rPr>
        <w:t>2</w:t>
      </w:r>
      <w:r w:rsidRPr="00616069">
        <w:rPr>
          <w:rFonts w:ascii="Calibri" w:hAnsi="Calibri" w:cs="Calibri"/>
          <w:b/>
          <w:color w:val="13576B"/>
          <w:sz w:val="23"/>
          <w:szCs w:val="23"/>
        </w:rPr>
        <w:t>: Celoroční objem a počet poskytnutých hypoték v letech 2021 až 2023</w:t>
      </w:r>
    </w:p>
    <w:p w14:paraId="2C48436A" w14:textId="77777777" w:rsidR="003E393C" w:rsidRPr="00616069" w:rsidRDefault="003E393C" w:rsidP="003E393C">
      <w:pPr>
        <w:rPr>
          <w:rFonts w:ascii="Calibri" w:hAnsi="Calibri" w:cs="Calibri"/>
          <w:sz w:val="22"/>
          <w:szCs w:val="22"/>
        </w:rPr>
      </w:pPr>
    </w:p>
    <w:p w14:paraId="6B4EF12D" w14:textId="48C50589" w:rsidR="003E393C" w:rsidRPr="00616069" w:rsidRDefault="003E393C" w:rsidP="003E393C">
      <w:pPr>
        <w:rPr>
          <w:rFonts w:ascii="Calibri" w:hAnsi="Calibri" w:cs="Calibri"/>
          <w:sz w:val="22"/>
          <w:szCs w:val="22"/>
        </w:rPr>
      </w:pPr>
      <w:r w:rsidRPr="00616069">
        <w:rPr>
          <w:rFonts w:ascii="Calibri" w:hAnsi="Calibri" w:cs="Calibri"/>
          <w:noProof/>
          <w:sz w:val="22"/>
          <w:szCs w:val="22"/>
        </w:rPr>
        <w:drawing>
          <wp:inline distT="0" distB="0" distL="0" distR="0" wp14:anchorId="1D67D3F7" wp14:editId="714D97CA">
            <wp:extent cx="6477000" cy="2346960"/>
            <wp:effectExtent l="0" t="0" r="0" b="0"/>
            <wp:docPr id="59176480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346960"/>
                    </a:xfrm>
                    <a:prstGeom prst="rect">
                      <a:avLst/>
                    </a:prstGeom>
                    <a:noFill/>
                    <a:ln>
                      <a:noFill/>
                    </a:ln>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616069">
        <w:rPr>
          <w:rFonts w:ascii="Calibri Light" w:hAnsi="Calibri Light" w:cs="Calibri Light"/>
          <w:color w:val="13576B"/>
          <w:sz w:val="20"/>
        </w:rPr>
        <w:t>Pramen: ČBA Hypomonitor</w:t>
      </w:r>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1687FA19"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0"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1"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79952D08" w14:textId="4596F283" w:rsidR="00C42F00"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v:textbox>
                <w10:wrap type="square" anchorx="margin"/>
              </v:shape>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60288" behindDoc="0" locked="0" layoutInCell="1" allowOverlap="1" wp14:anchorId="70D3B697" wp14:editId="0EC478EC">
                <wp:simplePos x="0" y="0"/>
                <wp:positionH relativeFrom="margin">
                  <wp:align>right</wp:align>
                </wp:positionH>
                <wp:positionV relativeFrom="paragraph">
                  <wp:posOffset>5315585</wp:posOffset>
                </wp:positionV>
                <wp:extent cx="2193290" cy="1546860"/>
                <wp:effectExtent l="0" t="0" r="0" b="0"/>
                <wp:wrapNone/>
                <wp:docPr id="3" name="Obdélní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1546860"/>
                        </a:xfrm>
                        <a:prstGeom prst="rect">
                          <a:avLst/>
                        </a:prstGeom>
                        <a:solidFill>
                          <a:srgbClr val="13576B">
                            <a:alpha val="86000"/>
                          </a:srgbClr>
                        </a:solidFill>
                        <a:ln>
                          <a:noFill/>
                        </a:ln>
                      </wps:spPr>
                      <wps:txbx>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3B697" id="Obdélník 200" o:spid="_x0000_s1030" style="position:absolute;left:0;text-align:left;margin-left:121.5pt;margin-top:418.55pt;width:172.7pt;height:12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" fillcolor="#13576b" stroked="f">
                <v:fill opacity="56283f"/>
                <v:textbox inset="3mm,3mm,3mm,3mm">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v:textbox>
                <w10:wrap anchorx="margin"/>
              </v:rect>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53120" behindDoc="0" locked="0" layoutInCell="1" allowOverlap="1" wp14:anchorId="6D0BA4F4" wp14:editId="61EE1DCA">
                <wp:simplePos x="0" y="0"/>
                <wp:positionH relativeFrom="margin">
                  <wp:posOffset>-36601</wp:posOffset>
                </wp:positionH>
                <wp:positionV relativeFrom="paragraph">
                  <wp:posOffset>5311241</wp:posOffset>
                </wp:positionV>
                <wp:extent cx="4322445" cy="1546860"/>
                <wp:effectExtent l="0" t="0" r="1905" b="0"/>
                <wp:wrapNone/>
                <wp:docPr id="199" name="Obdélník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2445" cy="15468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2"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BA4F4" id="Obdélník 199" o:spid="_x0000_s1031" style="position:absolute;left:0;text-align:left;margin-left:-2.9pt;margin-top:418.2pt;width:340.35pt;height:12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" fillcolor="#bfbfbf [2412]" stroked="f" strokeweight="1pt">
                <v:textbox inset="3mm,3mm,3mm,3mm">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3"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v:textbox>
                <w10:wrap anchorx="margin"/>
              </v:rect>
            </w:pict>
          </mc:Fallback>
        </mc:AlternateContent>
      </w:r>
    </w:p>
    <w:sectPr w:rsidR="00C42F00" w:rsidRPr="00B04FE2" w:rsidSect="000C6834">
      <w:headerReference w:type="default" r:id="rId14"/>
      <w:footerReference w:type="default" r:id="rId15"/>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12725" w14:textId="77777777" w:rsidR="00ED7D71" w:rsidRPr="00616069" w:rsidRDefault="00ED7D71" w:rsidP="00F573F1">
      <w:r w:rsidRPr="00616069">
        <w:separator/>
      </w:r>
    </w:p>
  </w:endnote>
  <w:endnote w:type="continuationSeparator" w:id="0">
    <w:p w14:paraId="3334018E" w14:textId="77777777" w:rsidR="00ED7D71" w:rsidRPr="00616069" w:rsidRDefault="00ED7D71"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01C04" w14:textId="77777777" w:rsidR="00ED7D71" w:rsidRPr="00616069" w:rsidRDefault="00ED7D71" w:rsidP="00F573F1">
      <w:r w:rsidRPr="00616069">
        <w:separator/>
      </w:r>
    </w:p>
  </w:footnote>
  <w:footnote w:type="continuationSeparator" w:id="0">
    <w:p w14:paraId="61E0579B" w14:textId="77777777" w:rsidR="00ED7D71" w:rsidRPr="00616069" w:rsidRDefault="00ED7D71" w:rsidP="00F573F1">
      <w:r w:rsidRPr="00616069">
        <w:continuationSeparator/>
      </w:r>
    </w:p>
  </w:footnote>
  <w:footnote w:id="1">
    <w:p w14:paraId="18CC1781" w14:textId="600CEE8D" w:rsidR="00AC7487" w:rsidRPr="00616069" w:rsidRDefault="00AC7487" w:rsidP="00AC7487">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 xml:space="preserve">Jedná se především o dlouholeté úrokové swapy (interest rate swap, IRS), které odráží cenu peněz v delších splatnostech, například </w:t>
      </w:r>
      <w:r w:rsidR="007877DC">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67D40024" w14:textId="3138CC7C" w:rsidR="00B04FE2" w:rsidRDefault="00B04FE2" w:rsidP="00B04FE2">
      <w:pPr>
        <w:pStyle w:val="Textpoznpodarou"/>
      </w:pPr>
      <w:r w:rsidRPr="00616069">
        <w:rPr>
          <w:rStyle w:val="Znakapoznpodarou"/>
        </w:rPr>
        <w:footnoteRef/>
      </w:r>
      <w:r w:rsidRPr="00616069">
        <w:t xml:space="preserve"> </w:t>
      </w:r>
      <w:r w:rsidRPr="00616069">
        <w:rPr>
          <w:rFonts w:asciiTheme="majorHAnsi" w:hAnsiTheme="majorHAnsi" w:cstheme="majorHAnsi"/>
          <w:sz w:val="17"/>
          <w:szCs w:val="17"/>
        </w:rPr>
        <w:t>Tabulka je k dispozici v souboru xls přiloženém na webových stránkách</w:t>
      </w:r>
      <w:r w:rsidR="00322BF9" w:rsidRPr="00616069">
        <w:rPr>
          <w:rFonts w:asciiTheme="majorHAnsi" w:hAnsiTheme="majorHAnsi" w:cstheme="majorHAnsi"/>
          <w:sz w:val="17"/>
          <w:szCs w:val="17"/>
        </w:rPr>
        <w:t xml:space="preserve"> </w:t>
      </w:r>
      <w:r w:rsidRPr="00616069">
        <w:rPr>
          <w:rFonts w:asciiTheme="majorHAnsi" w:hAnsiTheme="majorHAnsi" w:cstheme="majorHAnsi"/>
          <w:sz w:val="17"/>
          <w:szCs w:val="17"/>
        </w:rPr>
        <w:t>ČBA Hypomonitoru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5163F9F2"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2"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5163F9F2"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6DBE2E0"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2F0F08">
                            <w:rPr>
                              <w:rFonts w:ascii="Calibri" w:hAnsi="Calibri" w:cs="Calibri"/>
                              <w:color w:val="13576B"/>
                              <w:sz w:val="20"/>
                              <w:szCs w:val="22"/>
                            </w:rPr>
                            <w:t>1</w:t>
                          </w:r>
                          <w:r w:rsidR="002D4720" w:rsidRPr="00616069">
                            <w:rPr>
                              <w:rFonts w:ascii="Calibri" w:hAnsi="Calibri" w:cs="Calibri"/>
                              <w:color w:val="13576B"/>
                              <w:sz w:val="20"/>
                              <w:szCs w:val="22"/>
                            </w:rPr>
                            <w:t>.</w:t>
                          </w:r>
                          <w:r w:rsidR="002F0F08">
                            <w:rPr>
                              <w:rFonts w:ascii="Calibri" w:hAnsi="Calibri" w:cs="Calibri"/>
                              <w:color w:val="13576B"/>
                              <w:sz w:val="20"/>
                              <w:szCs w:val="22"/>
                            </w:rPr>
                            <w:t>10</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3"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36DBE2E0"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2F0F08">
                      <w:rPr>
                        <w:rFonts w:ascii="Calibri" w:hAnsi="Calibri" w:cs="Calibri"/>
                        <w:color w:val="13576B"/>
                        <w:sz w:val="20"/>
                        <w:szCs w:val="22"/>
                      </w:rPr>
                      <w:t>1</w:t>
                    </w:r>
                    <w:r w:rsidR="002D4720" w:rsidRPr="00616069">
                      <w:rPr>
                        <w:rFonts w:ascii="Calibri" w:hAnsi="Calibri" w:cs="Calibri"/>
                        <w:color w:val="13576B"/>
                        <w:sz w:val="20"/>
                        <w:szCs w:val="22"/>
                      </w:rPr>
                      <w:t>.</w:t>
                    </w:r>
                    <w:r w:rsidR="002F0F08">
                      <w:rPr>
                        <w:rFonts w:ascii="Calibri" w:hAnsi="Calibri" w:cs="Calibri"/>
                        <w:color w:val="13576B"/>
                        <w:sz w:val="20"/>
                        <w:szCs w:val="22"/>
                      </w:rPr>
                      <w:t>10</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5419"/>
    <w:rsid w:val="000054D2"/>
    <w:rsid w:val="00006511"/>
    <w:rsid w:val="00006C79"/>
    <w:rsid w:val="000070E2"/>
    <w:rsid w:val="00010564"/>
    <w:rsid w:val="000118C2"/>
    <w:rsid w:val="0001227F"/>
    <w:rsid w:val="00015933"/>
    <w:rsid w:val="000159E5"/>
    <w:rsid w:val="0001656C"/>
    <w:rsid w:val="000175B3"/>
    <w:rsid w:val="000176E6"/>
    <w:rsid w:val="00020581"/>
    <w:rsid w:val="00020ED0"/>
    <w:rsid w:val="00020FE5"/>
    <w:rsid w:val="000213CC"/>
    <w:rsid w:val="00023E9F"/>
    <w:rsid w:val="0002473E"/>
    <w:rsid w:val="000264B4"/>
    <w:rsid w:val="000265A3"/>
    <w:rsid w:val="00027099"/>
    <w:rsid w:val="00027B22"/>
    <w:rsid w:val="00027BAD"/>
    <w:rsid w:val="00031418"/>
    <w:rsid w:val="00031478"/>
    <w:rsid w:val="00036FAB"/>
    <w:rsid w:val="00037707"/>
    <w:rsid w:val="00037C17"/>
    <w:rsid w:val="00040FA4"/>
    <w:rsid w:val="00043889"/>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33AD"/>
    <w:rsid w:val="0007445A"/>
    <w:rsid w:val="00074C45"/>
    <w:rsid w:val="000752D6"/>
    <w:rsid w:val="00075932"/>
    <w:rsid w:val="0007638A"/>
    <w:rsid w:val="00076C37"/>
    <w:rsid w:val="000770D8"/>
    <w:rsid w:val="00081E35"/>
    <w:rsid w:val="000841C2"/>
    <w:rsid w:val="000842AE"/>
    <w:rsid w:val="00084CF9"/>
    <w:rsid w:val="00086094"/>
    <w:rsid w:val="00086BE0"/>
    <w:rsid w:val="0008743D"/>
    <w:rsid w:val="0009101B"/>
    <w:rsid w:val="00091B3B"/>
    <w:rsid w:val="0009491E"/>
    <w:rsid w:val="00097293"/>
    <w:rsid w:val="000976B9"/>
    <w:rsid w:val="00097B42"/>
    <w:rsid w:val="000A0285"/>
    <w:rsid w:val="000A16EA"/>
    <w:rsid w:val="000A2779"/>
    <w:rsid w:val="000A2C3B"/>
    <w:rsid w:val="000A3ECF"/>
    <w:rsid w:val="000A4D59"/>
    <w:rsid w:val="000A549A"/>
    <w:rsid w:val="000A664C"/>
    <w:rsid w:val="000B2005"/>
    <w:rsid w:val="000B3BFA"/>
    <w:rsid w:val="000B4C8F"/>
    <w:rsid w:val="000B510F"/>
    <w:rsid w:val="000B51A4"/>
    <w:rsid w:val="000B70C8"/>
    <w:rsid w:val="000B79A4"/>
    <w:rsid w:val="000C045B"/>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3B1C"/>
    <w:rsid w:val="000E4810"/>
    <w:rsid w:val="000E4ABC"/>
    <w:rsid w:val="000E563F"/>
    <w:rsid w:val="000E59CE"/>
    <w:rsid w:val="000F02C1"/>
    <w:rsid w:val="000F02FD"/>
    <w:rsid w:val="000F0342"/>
    <w:rsid w:val="000F0636"/>
    <w:rsid w:val="000F4318"/>
    <w:rsid w:val="000F617D"/>
    <w:rsid w:val="000F61F5"/>
    <w:rsid w:val="000F70CA"/>
    <w:rsid w:val="00100269"/>
    <w:rsid w:val="00100394"/>
    <w:rsid w:val="00102262"/>
    <w:rsid w:val="0010268F"/>
    <w:rsid w:val="0010277A"/>
    <w:rsid w:val="00102D9A"/>
    <w:rsid w:val="00103662"/>
    <w:rsid w:val="0010371D"/>
    <w:rsid w:val="00105918"/>
    <w:rsid w:val="00105ACC"/>
    <w:rsid w:val="00105DB5"/>
    <w:rsid w:val="00106451"/>
    <w:rsid w:val="00106D78"/>
    <w:rsid w:val="00106F70"/>
    <w:rsid w:val="00107915"/>
    <w:rsid w:val="001102C6"/>
    <w:rsid w:val="001104C5"/>
    <w:rsid w:val="001106DD"/>
    <w:rsid w:val="00110C31"/>
    <w:rsid w:val="001126B2"/>
    <w:rsid w:val="00112AA1"/>
    <w:rsid w:val="00112D3E"/>
    <w:rsid w:val="00112E70"/>
    <w:rsid w:val="0011443F"/>
    <w:rsid w:val="00115D53"/>
    <w:rsid w:val="00115DDC"/>
    <w:rsid w:val="00116003"/>
    <w:rsid w:val="00116F4B"/>
    <w:rsid w:val="00117860"/>
    <w:rsid w:val="00120FB7"/>
    <w:rsid w:val="001226BC"/>
    <w:rsid w:val="00122810"/>
    <w:rsid w:val="00122CC4"/>
    <w:rsid w:val="0012351B"/>
    <w:rsid w:val="00123FF9"/>
    <w:rsid w:val="00124EF9"/>
    <w:rsid w:val="001253CC"/>
    <w:rsid w:val="001259D2"/>
    <w:rsid w:val="00126A7F"/>
    <w:rsid w:val="00130063"/>
    <w:rsid w:val="00130359"/>
    <w:rsid w:val="00131D36"/>
    <w:rsid w:val="00131E94"/>
    <w:rsid w:val="00132EE9"/>
    <w:rsid w:val="0013407D"/>
    <w:rsid w:val="001348D9"/>
    <w:rsid w:val="00134A41"/>
    <w:rsid w:val="001361CA"/>
    <w:rsid w:val="00136825"/>
    <w:rsid w:val="00136D3A"/>
    <w:rsid w:val="00136EC9"/>
    <w:rsid w:val="00136FC5"/>
    <w:rsid w:val="00137050"/>
    <w:rsid w:val="0013716D"/>
    <w:rsid w:val="00137560"/>
    <w:rsid w:val="00140E10"/>
    <w:rsid w:val="001438F4"/>
    <w:rsid w:val="00143BF5"/>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C6A"/>
    <w:rsid w:val="001605B3"/>
    <w:rsid w:val="001622C2"/>
    <w:rsid w:val="00162D23"/>
    <w:rsid w:val="001633ED"/>
    <w:rsid w:val="00163F5F"/>
    <w:rsid w:val="00165DDC"/>
    <w:rsid w:val="0016769F"/>
    <w:rsid w:val="00170298"/>
    <w:rsid w:val="001715A2"/>
    <w:rsid w:val="0017388B"/>
    <w:rsid w:val="0017441E"/>
    <w:rsid w:val="00175839"/>
    <w:rsid w:val="00175A85"/>
    <w:rsid w:val="00175E6C"/>
    <w:rsid w:val="00175FBC"/>
    <w:rsid w:val="00176669"/>
    <w:rsid w:val="001766FF"/>
    <w:rsid w:val="00176C20"/>
    <w:rsid w:val="00177598"/>
    <w:rsid w:val="0018097B"/>
    <w:rsid w:val="00180A13"/>
    <w:rsid w:val="00182C97"/>
    <w:rsid w:val="00183066"/>
    <w:rsid w:val="001833C7"/>
    <w:rsid w:val="00183FB4"/>
    <w:rsid w:val="00184412"/>
    <w:rsid w:val="00186A72"/>
    <w:rsid w:val="001906F3"/>
    <w:rsid w:val="00192933"/>
    <w:rsid w:val="001929FC"/>
    <w:rsid w:val="00195C6D"/>
    <w:rsid w:val="001961C5"/>
    <w:rsid w:val="00196F95"/>
    <w:rsid w:val="00197315"/>
    <w:rsid w:val="0019772B"/>
    <w:rsid w:val="001A05A9"/>
    <w:rsid w:val="001A2614"/>
    <w:rsid w:val="001A2623"/>
    <w:rsid w:val="001A463E"/>
    <w:rsid w:val="001A46CC"/>
    <w:rsid w:val="001A6304"/>
    <w:rsid w:val="001B1060"/>
    <w:rsid w:val="001B1467"/>
    <w:rsid w:val="001B1C5E"/>
    <w:rsid w:val="001B3197"/>
    <w:rsid w:val="001B39D3"/>
    <w:rsid w:val="001B59D9"/>
    <w:rsid w:val="001B5F14"/>
    <w:rsid w:val="001B6935"/>
    <w:rsid w:val="001B7154"/>
    <w:rsid w:val="001C091C"/>
    <w:rsid w:val="001C150C"/>
    <w:rsid w:val="001C1FAA"/>
    <w:rsid w:val="001C2261"/>
    <w:rsid w:val="001C266E"/>
    <w:rsid w:val="001C306A"/>
    <w:rsid w:val="001C49DC"/>
    <w:rsid w:val="001C6945"/>
    <w:rsid w:val="001C698F"/>
    <w:rsid w:val="001C7200"/>
    <w:rsid w:val="001C7F88"/>
    <w:rsid w:val="001D12D6"/>
    <w:rsid w:val="001D169B"/>
    <w:rsid w:val="001D2B76"/>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D27"/>
    <w:rsid w:val="001E5169"/>
    <w:rsid w:val="001E5571"/>
    <w:rsid w:val="001E60C5"/>
    <w:rsid w:val="001E6F5D"/>
    <w:rsid w:val="001E71FE"/>
    <w:rsid w:val="001F0819"/>
    <w:rsid w:val="001F1677"/>
    <w:rsid w:val="001F2A1F"/>
    <w:rsid w:val="001F3DF4"/>
    <w:rsid w:val="001F49EA"/>
    <w:rsid w:val="001F5CF7"/>
    <w:rsid w:val="001F64C3"/>
    <w:rsid w:val="001F6A78"/>
    <w:rsid w:val="001F72D8"/>
    <w:rsid w:val="001F7B28"/>
    <w:rsid w:val="002010C8"/>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0A9C"/>
    <w:rsid w:val="00211E6F"/>
    <w:rsid w:val="002128AF"/>
    <w:rsid w:val="002137B0"/>
    <w:rsid w:val="002150BF"/>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07F2"/>
    <w:rsid w:val="00250C73"/>
    <w:rsid w:val="00251163"/>
    <w:rsid w:val="00251393"/>
    <w:rsid w:val="0025241A"/>
    <w:rsid w:val="0025305E"/>
    <w:rsid w:val="00253D09"/>
    <w:rsid w:val="00254CA2"/>
    <w:rsid w:val="002556C2"/>
    <w:rsid w:val="00256268"/>
    <w:rsid w:val="002567A3"/>
    <w:rsid w:val="00260219"/>
    <w:rsid w:val="00260B2C"/>
    <w:rsid w:val="0026106F"/>
    <w:rsid w:val="00262B7F"/>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8DB"/>
    <w:rsid w:val="00280AB4"/>
    <w:rsid w:val="00280D31"/>
    <w:rsid w:val="00280F92"/>
    <w:rsid w:val="002817B5"/>
    <w:rsid w:val="00283681"/>
    <w:rsid w:val="00285A75"/>
    <w:rsid w:val="00290498"/>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6290"/>
    <w:rsid w:val="002A6A60"/>
    <w:rsid w:val="002B1743"/>
    <w:rsid w:val="002B1996"/>
    <w:rsid w:val="002B3AB2"/>
    <w:rsid w:val="002B4617"/>
    <w:rsid w:val="002B4641"/>
    <w:rsid w:val="002B5069"/>
    <w:rsid w:val="002B58A5"/>
    <w:rsid w:val="002B724C"/>
    <w:rsid w:val="002C02A9"/>
    <w:rsid w:val="002C0719"/>
    <w:rsid w:val="002C179D"/>
    <w:rsid w:val="002C2C2B"/>
    <w:rsid w:val="002C30D4"/>
    <w:rsid w:val="002C47FE"/>
    <w:rsid w:val="002C513E"/>
    <w:rsid w:val="002D1376"/>
    <w:rsid w:val="002D238E"/>
    <w:rsid w:val="002D2A30"/>
    <w:rsid w:val="002D2DC7"/>
    <w:rsid w:val="002D3F94"/>
    <w:rsid w:val="002D4720"/>
    <w:rsid w:val="002D49FB"/>
    <w:rsid w:val="002D4A25"/>
    <w:rsid w:val="002D4DF8"/>
    <w:rsid w:val="002E0041"/>
    <w:rsid w:val="002E1390"/>
    <w:rsid w:val="002E1AEB"/>
    <w:rsid w:val="002E1DBF"/>
    <w:rsid w:val="002E2498"/>
    <w:rsid w:val="002E3105"/>
    <w:rsid w:val="002E320D"/>
    <w:rsid w:val="002E3E1D"/>
    <w:rsid w:val="002E4CA1"/>
    <w:rsid w:val="002E5E57"/>
    <w:rsid w:val="002E6192"/>
    <w:rsid w:val="002E6312"/>
    <w:rsid w:val="002E6C7C"/>
    <w:rsid w:val="002F0118"/>
    <w:rsid w:val="002F0F08"/>
    <w:rsid w:val="002F1752"/>
    <w:rsid w:val="002F1AFD"/>
    <w:rsid w:val="002F20C7"/>
    <w:rsid w:val="002F2F90"/>
    <w:rsid w:val="002F2FAA"/>
    <w:rsid w:val="002F4373"/>
    <w:rsid w:val="002F477C"/>
    <w:rsid w:val="002F4A74"/>
    <w:rsid w:val="002F4CDA"/>
    <w:rsid w:val="002F506A"/>
    <w:rsid w:val="002F52DA"/>
    <w:rsid w:val="002F557F"/>
    <w:rsid w:val="002F6432"/>
    <w:rsid w:val="003012B9"/>
    <w:rsid w:val="0030161E"/>
    <w:rsid w:val="00301915"/>
    <w:rsid w:val="003028DC"/>
    <w:rsid w:val="0030348A"/>
    <w:rsid w:val="003045DD"/>
    <w:rsid w:val="00304727"/>
    <w:rsid w:val="0030613B"/>
    <w:rsid w:val="00306844"/>
    <w:rsid w:val="003077DD"/>
    <w:rsid w:val="003111F3"/>
    <w:rsid w:val="003131EC"/>
    <w:rsid w:val="003134AE"/>
    <w:rsid w:val="003142AD"/>
    <w:rsid w:val="00314AB6"/>
    <w:rsid w:val="00314CF6"/>
    <w:rsid w:val="00315F32"/>
    <w:rsid w:val="00316BAA"/>
    <w:rsid w:val="00317242"/>
    <w:rsid w:val="00320811"/>
    <w:rsid w:val="00322BF9"/>
    <w:rsid w:val="00324743"/>
    <w:rsid w:val="00324769"/>
    <w:rsid w:val="00324B27"/>
    <w:rsid w:val="003253AF"/>
    <w:rsid w:val="00327407"/>
    <w:rsid w:val="00327CB6"/>
    <w:rsid w:val="0033298A"/>
    <w:rsid w:val="00335341"/>
    <w:rsid w:val="00336412"/>
    <w:rsid w:val="00336CA6"/>
    <w:rsid w:val="00337157"/>
    <w:rsid w:val="003373BE"/>
    <w:rsid w:val="003411DB"/>
    <w:rsid w:val="003417B4"/>
    <w:rsid w:val="00341D86"/>
    <w:rsid w:val="003423A7"/>
    <w:rsid w:val="003426EE"/>
    <w:rsid w:val="0034310E"/>
    <w:rsid w:val="00344213"/>
    <w:rsid w:val="003444F4"/>
    <w:rsid w:val="00344B88"/>
    <w:rsid w:val="00345842"/>
    <w:rsid w:val="00346684"/>
    <w:rsid w:val="003472AF"/>
    <w:rsid w:val="003508FE"/>
    <w:rsid w:val="00351369"/>
    <w:rsid w:val="0035167B"/>
    <w:rsid w:val="003522BD"/>
    <w:rsid w:val="00352D4E"/>
    <w:rsid w:val="003543D2"/>
    <w:rsid w:val="0035493D"/>
    <w:rsid w:val="00356528"/>
    <w:rsid w:val="00356C7A"/>
    <w:rsid w:val="00356FF7"/>
    <w:rsid w:val="0035718C"/>
    <w:rsid w:val="003608A1"/>
    <w:rsid w:val="003608FD"/>
    <w:rsid w:val="0036420C"/>
    <w:rsid w:val="00364A11"/>
    <w:rsid w:val="00366057"/>
    <w:rsid w:val="003677E2"/>
    <w:rsid w:val="0037051F"/>
    <w:rsid w:val="003707E0"/>
    <w:rsid w:val="00370F35"/>
    <w:rsid w:val="003725F0"/>
    <w:rsid w:val="003732C7"/>
    <w:rsid w:val="003739F0"/>
    <w:rsid w:val="00373FC2"/>
    <w:rsid w:val="003742A8"/>
    <w:rsid w:val="003749A5"/>
    <w:rsid w:val="00375CF8"/>
    <w:rsid w:val="00376918"/>
    <w:rsid w:val="00376F07"/>
    <w:rsid w:val="003775A3"/>
    <w:rsid w:val="00380502"/>
    <w:rsid w:val="00380788"/>
    <w:rsid w:val="003809CD"/>
    <w:rsid w:val="00381524"/>
    <w:rsid w:val="00381FAF"/>
    <w:rsid w:val="00383D10"/>
    <w:rsid w:val="00384170"/>
    <w:rsid w:val="003847A3"/>
    <w:rsid w:val="00386E7F"/>
    <w:rsid w:val="00387749"/>
    <w:rsid w:val="00387CB8"/>
    <w:rsid w:val="0039010C"/>
    <w:rsid w:val="00390C7F"/>
    <w:rsid w:val="00390E5C"/>
    <w:rsid w:val="00391AED"/>
    <w:rsid w:val="00391C4B"/>
    <w:rsid w:val="00391FA6"/>
    <w:rsid w:val="00393046"/>
    <w:rsid w:val="003952ED"/>
    <w:rsid w:val="00395549"/>
    <w:rsid w:val="00396610"/>
    <w:rsid w:val="00396DEC"/>
    <w:rsid w:val="00396F9D"/>
    <w:rsid w:val="00397430"/>
    <w:rsid w:val="003A0443"/>
    <w:rsid w:val="003A0F5E"/>
    <w:rsid w:val="003A1E08"/>
    <w:rsid w:val="003A424B"/>
    <w:rsid w:val="003A46D3"/>
    <w:rsid w:val="003A542D"/>
    <w:rsid w:val="003A5636"/>
    <w:rsid w:val="003A5765"/>
    <w:rsid w:val="003A623D"/>
    <w:rsid w:val="003A68A3"/>
    <w:rsid w:val="003A76ED"/>
    <w:rsid w:val="003B0433"/>
    <w:rsid w:val="003B04C1"/>
    <w:rsid w:val="003B2C84"/>
    <w:rsid w:val="003B4F01"/>
    <w:rsid w:val="003B505C"/>
    <w:rsid w:val="003B519E"/>
    <w:rsid w:val="003B5E6F"/>
    <w:rsid w:val="003C0B1B"/>
    <w:rsid w:val="003C1195"/>
    <w:rsid w:val="003C12B6"/>
    <w:rsid w:val="003C2D27"/>
    <w:rsid w:val="003C373E"/>
    <w:rsid w:val="003C3D7F"/>
    <w:rsid w:val="003C41DD"/>
    <w:rsid w:val="003C5F2E"/>
    <w:rsid w:val="003C6326"/>
    <w:rsid w:val="003C6710"/>
    <w:rsid w:val="003C6D87"/>
    <w:rsid w:val="003C7600"/>
    <w:rsid w:val="003D079C"/>
    <w:rsid w:val="003D0D7D"/>
    <w:rsid w:val="003D164F"/>
    <w:rsid w:val="003D224C"/>
    <w:rsid w:val="003D3759"/>
    <w:rsid w:val="003D45D4"/>
    <w:rsid w:val="003D613B"/>
    <w:rsid w:val="003D684B"/>
    <w:rsid w:val="003D7D9E"/>
    <w:rsid w:val="003E0FC6"/>
    <w:rsid w:val="003E14DF"/>
    <w:rsid w:val="003E1F42"/>
    <w:rsid w:val="003E3584"/>
    <w:rsid w:val="003E382B"/>
    <w:rsid w:val="003E393C"/>
    <w:rsid w:val="003E3ACA"/>
    <w:rsid w:val="003E3DCB"/>
    <w:rsid w:val="003E4312"/>
    <w:rsid w:val="003E48FA"/>
    <w:rsid w:val="003E4ADE"/>
    <w:rsid w:val="003E5891"/>
    <w:rsid w:val="003E7ED0"/>
    <w:rsid w:val="003F021E"/>
    <w:rsid w:val="003F03DF"/>
    <w:rsid w:val="003F12BC"/>
    <w:rsid w:val="003F12D5"/>
    <w:rsid w:val="003F1CB9"/>
    <w:rsid w:val="003F2050"/>
    <w:rsid w:val="003F37CA"/>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25D3"/>
    <w:rsid w:val="00435176"/>
    <w:rsid w:val="004371EE"/>
    <w:rsid w:val="00437589"/>
    <w:rsid w:val="00440A53"/>
    <w:rsid w:val="00442170"/>
    <w:rsid w:val="0044352D"/>
    <w:rsid w:val="004444EE"/>
    <w:rsid w:val="00444BDA"/>
    <w:rsid w:val="00445609"/>
    <w:rsid w:val="004464CF"/>
    <w:rsid w:val="004476C2"/>
    <w:rsid w:val="00451368"/>
    <w:rsid w:val="00453473"/>
    <w:rsid w:val="004555E6"/>
    <w:rsid w:val="00456A9B"/>
    <w:rsid w:val="00460772"/>
    <w:rsid w:val="00461E79"/>
    <w:rsid w:val="00462717"/>
    <w:rsid w:val="004641CC"/>
    <w:rsid w:val="00464E64"/>
    <w:rsid w:val="00465403"/>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52E3"/>
    <w:rsid w:val="00486858"/>
    <w:rsid w:val="004904F6"/>
    <w:rsid w:val="00490505"/>
    <w:rsid w:val="004908DB"/>
    <w:rsid w:val="00490E1A"/>
    <w:rsid w:val="00491DB6"/>
    <w:rsid w:val="00492636"/>
    <w:rsid w:val="004935C1"/>
    <w:rsid w:val="00493A20"/>
    <w:rsid w:val="00495C6A"/>
    <w:rsid w:val="004969D8"/>
    <w:rsid w:val="0049704E"/>
    <w:rsid w:val="004975FD"/>
    <w:rsid w:val="004979BF"/>
    <w:rsid w:val="004A1724"/>
    <w:rsid w:val="004A2349"/>
    <w:rsid w:val="004A31A7"/>
    <w:rsid w:val="004A435C"/>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571"/>
    <w:rsid w:val="004B51F9"/>
    <w:rsid w:val="004B564F"/>
    <w:rsid w:val="004B6A7C"/>
    <w:rsid w:val="004B7ECE"/>
    <w:rsid w:val="004C04EA"/>
    <w:rsid w:val="004C0763"/>
    <w:rsid w:val="004C0A56"/>
    <w:rsid w:val="004C0AC1"/>
    <w:rsid w:val="004C3997"/>
    <w:rsid w:val="004C4C1F"/>
    <w:rsid w:val="004C50BF"/>
    <w:rsid w:val="004C53CB"/>
    <w:rsid w:val="004C593C"/>
    <w:rsid w:val="004C629B"/>
    <w:rsid w:val="004C693B"/>
    <w:rsid w:val="004C751A"/>
    <w:rsid w:val="004C7E8B"/>
    <w:rsid w:val="004D0B15"/>
    <w:rsid w:val="004D0EBA"/>
    <w:rsid w:val="004D114D"/>
    <w:rsid w:val="004D14D3"/>
    <w:rsid w:val="004D23AD"/>
    <w:rsid w:val="004D3E58"/>
    <w:rsid w:val="004D4156"/>
    <w:rsid w:val="004D4333"/>
    <w:rsid w:val="004D6531"/>
    <w:rsid w:val="004E011D"/>
    <w:rsid w:val="004E1AC6"/>
    <w:rsid w:val="004E2434"/>
    <w:rsid w:val="004E26E2"/>
    <w:rsid w:val="004E3070"/>
    <w:rsid w:val="004E4B5B"/>
    <w:rsid w:val="004E5779"/>
    <w:rsid w:val="004E5E51"/>
    <w:rsid w:val="004E668A"/>
    <w:rsid w:val="004E7E07"/>
    <w:rsid w:val="004F32E1"/>
    <w:rsid w:val="004F34F2"/>
    <w:rsid w:val="004F4632"/>
    <w:rsid w:val="004F46CE"/>
    <w:rsid w:val="004F5C1C"/>
    <w:rsid w:val="004F62FF"/>
    <w:rsid w:val="004F69E2"/>
    <w:rsid w:val="004F6CFB"/>
    <w:rsid w:val="004F6EA8"/>
    <w:rsid w:val="004F70A7"/>
    <w:rsid w:val="005019FE"/>
    <w:rsid w:val="00502C28"/>
    <w:rsid w:val="00503D06"/>
    <w:rsid w:val="00504229"/>
    <w:rsid w:val="00504370"/>
    <w:rsid w:val="00505434"/>
    <w:rsid w:val="005063FD"/>
    <w:rsid w:val="005069C2"/>
    <w:rsid w:val="00507747"/>
    <w:rsid w:val="00510452"/>
    <w:rsid w:val="00510AD7"/>
    <w:rsid w:val="00510EB1"/>
    <w:rsid w:val="0051164C"/>
    <w:rsid w:val="00512176"/>
    <w:rsid w:val="005122E9"/>
    <w:rsid w:val="005137DB"/>
    <w:rsid w:val="0051437A"/>
    <w:rsid w:val="0051449F"/>
    <w:rsid w:val="0051508B"/>
    <w:rsid w:val="0051570C"/>
    <w:rsid w:val="00516007"/>
    <w:rsid w:val="00517111"/>
    <w:rsid w:val="005203B7"/>
    <w:rsid w:val="005208BD"/>
    <w:rsid w:val="0052161C"/>
    <w:rsid w:val="00521FF6"/>
    <w:rsid w:val="0052347F"/>
    <w:rsid w:val="00527260"/>
    <w:rsid w:val="00527681"/>
    <w:rsid w:val="0052771A"/>
    <w:rsid w:val="00527FC5"/>
    <w:rsid w:val="00530967"/>
    <w:rsid w:val="00530DE6"/>
    <w:rsid w:val="00531FAE"/>
    <w:rsid w:val="0053589B"/>
    <w:rsid w:val="00535CDB"/>
    <w:rsid w:val="00535E49"/>
    <w:rsid w:val="0053659F"/>
    <w:rsid w:val="00537179"/>
    <w:rsid w:val="00537D18"/>
    <w:rsid w:val="00537D95"/>
    <w:rsid w:val="005417AF"/>
    <w:rsid w:val="00543780"/>
    <w:rsid w:val="005450EB"/>
    <w:rsid w:val="0054574A"/>
    <w:rsid w:val="00546646"/>
    <w:rsid w:val="0054665C"/>
    <w:rsid w:val="00547A43"/>
    <w:rsid w:val="00550C47"/>
    <w:rsid w:val="00552694"/>
    <w:rsid w:val="0055337B"/>
    <w:rsid w:val="0055377C"/>
    <w:rsid w:val="00553860"/>
    <w:rsid w:val="005541F4"/>
    <w:rsid w:val="00554717"/>
    <w:rsid w:val="00555261"/>
    <w:rsid w:val="00556DE6"/>
    <w:rsid w:val="005574AF"/>
    <w:rsid w:val="0055785D"/>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588"/>
    <w:rsid w:val="00574619"/>
    <w:rsid w:val="005746F6"/>
    <w:rsid w:val="00575D36"/>
    <w:rsid w:val="005761EE"/>
    <w:rsid w:val="00576C13"/>
    <w:rsid w:val="00576CB6"/>
    <w:rsid w:val="00576CF4"/>
    <w:rsid w:val="00577164"/>
    <w:rsid w:val="00577D9F"/>
    <w:rsid w:val="00580391"/>
    <w:rsid w:val="0058086E"/>
    <w:rsid w:val="005818DE"/>
    <w:rsid w:val="00581CC1"/>
    <w:rsid w:val="00584718"/>
    <w:rsid w:val="00584D4C"/>
    <w:rsid w:val="005861DC"/>
    <w:rsid w:val="0058622F"/>
    <w:rsid w:val="00586418"/>
    <w:rsid w:val="00587350"/>
    <w:rsid w:val="005874B8"/>
    <w:rsid w:val="00587BA9"/>
    <w:rsid w:val="0059007C"/>
    <w:rsid w:val="00590699"/>
    <w:rsid w:val="00591A31"/>
    <w:rsid w:val="00594C44"/>
    <w:rsid w:val="0059556C"/>
    <w:rsid w:val="00596B76"/>
    <w:rsid w:val="00597DD9"/>
    <w:rsid w:val="005A0ACF"/>
    <w:rsid w:val="005A0C34"/>
    <w:rsid w:val="005A2501"/>
    <w:rsid w:val="005A34B6"/>
    <w:rsid w:val="005A3E34"/>
    <w:rsid w:val="005A44FF"/>
    <w:rsid w:val="005A4BD9"/>
    <w:rsid w:val="005A51C6"/>
    <w:rsid w:val="005A576D"/>
    <w:rsid w:val="005A5BAB"/>
    <w:rsid w:val="005A5CB3"/>
    <w:rsid w:val="005A6604"/>
    <w:rsid w:val="005A7E09"/>
    <w:rsid w:val="005B08A6"/>
    <w:rsid w:val="005B0F22"/>
    <w:rsid w:val="005B0F27"/>
    <w:rsid w:val="005B1A31"/>
    <w:rsid w:val="005B2B4F"/>
    <w:rsid w:val="005B2CB5"/>
    <w:rsid w:val="005B3439"/>
    <w:rsid w:val="005B4E85"/>
    <w:rsid w:val="005B5E17"/>
    <w:rsid w:val="005B6CC1"/>
    <w:rsid w:val="005C1943"/>
    <w:rsid w:val="005C22C2"/>
    <w:rsid w:val="005C501A"/>
    <w:rsid w:val="005C5673"/>
    <w:rsid w:val="005C6D52"/>
    <w:rsid w:val="005C6F67"/>
    <w:rsid w:val="005C7858"/>
    <w:rsid w:val="005C7A9A"/>
    <w:rsid w:val="005C7FCE"/>
    <w:rsid w:val="005D11A5"/>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1295"/>
    <w:rsid w:val="005F2075"/>
    <w:rsid w:val="005F2341"/>
    <w:rsid w:val="005F2B48"/>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11B3C"/>
    <w:rsid w:val="00611C5C"/>
    <w:rsid w:val="00612686"/>
    <w:rsid w:val="006131E9"/>
    <w:rsid w:val="0061392C"/>
    <w:rsid w:val="00613C92"/>
    <w:rsid w:val="00615685"/>
    <w:rsid w:val="00616069"/>
    <w:rsid w:val="00616FDD"/>
    <w:rsid w:val="00617E42"/>
    <w:rsid w:val="00617E6C"/>
    <w:rsid w:val="006203EC"/>
    <w:rsid w:val="00622191"/>
    <w:rsid w:val="00622D62"/>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54FF"/>
    <w:rsid w:val="00635832"/>
    <w:rsid w:val="00635AB6"/>
    <w:rsid w:val="006361B1"/>
    <w:rsid w:val="006365E9"/>
    <w:rsid w:val="00636E18"/>
    <w:rsid w:val="00637228"/>
    <w:rsid w:val="00641E0B"/>
    <w:rsid w:val="0064225E"/>
    <w:rsid w:val="0064298D"/>
    <w:rsid w:val="0064364F"/>
    <w:rsid w:val="006445A3"/>
    <w:rsid w:val="00645115"/>
    <w:rsid w:val="006464CF"/>
    <w:rsid w:val="00647A7A"/>
    <w:rsid w:val="00650724"/>
    <w:rsid w:val="0065124E"/>
    <w:rsid w:val="006513A0"/>
    <w:rsid w:val="00652C4F"/>
    <w:rsid w:val="00654860"/>
    <w:rsid w:val="00654F37"/>
    <w:rsid w:val="00655662"/>
    <w:rsid w:val="00656ABE"/>
    <w:rsid w:val="00657521"/>
    <w:rsid w:val="0066000B"/>
    <w:rsid w:val="0066030A"/>
    <w:rsid w:val="00661C43"/>
    <w:rsid w:val="00662C2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5F12"/>
    <w:rsid w:val="00687672"/>
    <w:rsid w:val="00690FB6"/>
    <w:rsid w:val="00692E66"/>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2EBD"/>
    <w:rsid w:val="006B2F86"/>
    <w:rsid w:val="006B3690"/>
    <w:rsid w:val="006B37A6"/>
    <w:rsid w:val="006B3C0D"/>
    <w:rsid w:val="006C0355"/>
    <w:rsid w:val="006C090C"/>
    <w:rsid w:val="006C13D5"/>
    <w:rsid w:val="006C3A40"/>
    <w:rsid w:val="006C3F79"/>
    <w:rsid w:val="006C4E8E"/>
    <w:rsid w:val="006C53A0"/>
    <w:rsid w:val="006C5E9B"/>
    <w:rsid w:val="006C6D77"/>
    <w:rsid w:val="006C7240"/>
    <w:rsid w:val="006C74D6"/>
    <w:rsid w:val="006D0EE8"/>
    <w:rsid w:val="006D12C7"/>
    <w:rsid w:val="006D175B"/>
    <w:rsid w:val="006D1BF7"/>
    <w:rsid w:val="006D23EF"/>
    <w:rsid w:val="006D457D"/>
    <w:rsid w:val="006D59F8"/>
    <w:rsid w:val="006D61DA"/>
    <w:rsid w:val="006D6AF7"/>
    <w:rsid w:val="006D6EBB"/>
    <w:rsid w:val="006D7F80"/>
    <w:rsid w:val="006D7FC7"/>
    <w:rsid w:val="006E00DA"/>
    <w:rsid w:val="006E04F7"/>
    <w:rsid w:val="006E0941"/>
    <w:rsid w:val="006E0B68"/>
    <w:rsid w:val="006E0EAD"/>
    <w:rsid w:val="006E1DC5"/>
    <w:rsid w:val="006E3420"/>
    <w:rsid w:val="006E39D7"/>
    <w:rsid w:val="006E3BD0"/>
    <w:rsid w:val="006E3FA9"/>
    <w:rsid w:val="006E4444"/>
    <w:rsid w:val="006E4D14"/>
    <w:rsid w:val="006E6866"/>
    <w:rsid w:val="006E702B"/>
    <w:rsid w:val="006E7DC6"/>
    <w:rsid w:val="006F01FC"/>
    <w:rsid w:val="006F0349"/>
    <w:rsid w:val="006F08E1"/>
    <w:rsid w:val="006F0E10"/>
    <w:rsid w:val="006F13D2"/>
    <w:rsid w:val="006F1A53"/>
    <w:rsid w:val="006F2196"/>
    <w:rsid w:val="006F2B29"/>
    <w:rsid w:val="006F3620"/>
    <w:rsid w:val="006F3D73"/>
    <w:rsid w:val="006F5A87"/>
    <w:rsid w:val="006F7BDA"/>
    <w:rsid w:val="00701FC8"/>
    <w:rsid w:val="0070288A"/>
    <w:rsid w:val="00702D07"/>
    <w:rsid w:val="00703676"/>
    <w:rsid w:val="00706655"/>
    <w:rsid w:val="007078D6"/>
    <w:rsid w:val="007106DD"/>
    <w:rsid w:val="00710F87"/>
    <w:rsid w:val="007116F8"/>
    <w:rsid w:val="007133E9"/>
    <w:rsid w:val="007137B3"/>
    <w:rsid w:val="00713BD4"/>
    <w:rsid w:val="00714542"/>
    <w:rsid w:val="00714837"/>
    <w:rsid w:val="00714EF0"/>
    <w:rsid w:val="00714F04"/>
    <w:rsid w:val="00715087"/>
    <w:rsid w:val="007158C7"/>
    <w:rsid w:val="00715D0C"/>
    <w:rsid w:val="00716F27"/>
    <w:rsid w:val="00717727"/>
    <w:rsid w:val="00717B00"/>
    <w:rsid w:val="00720DE3"/>
    <w:rsid w:val="00721C6A"/>
    <w:rsid w:val="007227EC"/>
    <w:rsid w:val="00722F2C"/>
    <w:rsid w:val="00723293"/>
    <w:rsid w:val="00723439"/>
    <w:rsid w:val="00723CB3"/>
    <w:rsid w:val="00724D46"/>
    <w:rsid w:val="007252D4"/>
    <w:rsid w:val="00727012"/>
    <w:rsid w:val="0072723A"/>
    <w:rsid w:val="00727D29"/>
    <w:rsid w:val="00730E2D"/>
    <w:rsid w:val="0073142D"/>
    <w:rsid w:val="007330A4"/>
    <w:rsid w:val="00733C05"/>
    <w:rsid w:val="00734568"/>
    <w:rsid w:val="0073460E"/>
    <w:rsid w:val="007349F9"/>
    <w:rsid w:val="00734A12"/>
    <w:rsid w:val="00736EAE"/>
    <w:rsid w:val="00737F9B"/>
    <w:rsid w:val="007402C2"/>
    <w:rsid w:val="0074044C"/>
    <w:rsid w:val="007405B1"/>
    <w:rsid w:val="00742174"/>
    <w:rsid w:val="00742C4C"/>
    <w:rsid w:val="00743577"/>
    <w:rsid w:val="007435D3"/>
    <w:rsid w:val="00744C66"/>
    <w:rsid w:val="007464CC"/>
    <w:rsid w:val="00747238"/>
    <w:rsid w:val="00747B4B"/>
    <w:rsid w:val="00750679"/>
    <w:rsid w:val="00751EDA"/>
    <w:rsid w:val="00754851"/>
    <w:rsid w:val="007575D0"/>
    <w:rsid w:val="00757649"/>
    <w:rsid w:val="007609D5"/>
    <w:rsid w:val="007611AD"/>
    <w:rsid w:val="0076126B"/>
    <w:rsid w:val="007613B3"/>
    <w:rsid w:val="00762FBA"/>
    <w:rsid w:val="0076473F"/>
    <w:rsid w:val="00764748"/>
    <w:rsid w:val="00765515"/>
    <w:rsid w:val="00766F28"/>
    <w:rsid w:val="007713E8"/>
    <w:rsid w:val="00771967"/>
    <w:rsid w:val="00771AA1"/>
    <w:rsid w:val="0077322C"/>
    <w:rsid w:val="00774715"/>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E88"/>
    <w:rsid w:val="007D275E"/>
    <w:rsid w:val="007D37BA"/>
    <w:rsid w:val="007D3850"/>
    <w:rsid w:val="007D3F75"/>
    <w:rsid w:val="007D4025"/>
    <w:rsid w:val="007D66F0"/>
    <w:rsid w:val="007D73E5"/>
    <w:rsid w:val="007D750A"/>
    <w:rsid w:val="007D7523"/>
    <w:rsid w:val="007E0084"/>
    <w:rsid w:val="007E0678"/>
    <w:rsid w:val="007E0A18"/>
    <w:rsid w:val="007E1035"/>
    <w:rsid w:val="007E18D1"/>
    <w:rsid w:val="007E199C"/>
    <w:rsid w:val="007E2A76"/>
    <w:rsid w:val="007E4D07"/>
    <w:rsid w:val="007E581F"/>
    <w:rsid w:val="007E722A"/>
    <w:rsid w:val="007E72EF"/>
    <w:rsid w:val="007E770A"/>
    <w:rsid w:val="007E7968"/>
    <w:rsid w:val="007E7C0D"/>
    <w:rsid w:val="007F0CB0"/>
    <w:rsid w:val="007F1600"/>
    <w:rsid w:val="007F166D"/>
    <w:rsid w:val="007F1EDF"/>
    <w:rsid w:val="007F2054"/>
    <w:rsid w:val="007F299B"/>
    <w:rsid w:val="007F365B"/>
    <w:rsid w:val="007F4023"/>
    <w:rsid w:val="007F40D6"/>
    <w:rsid w:val="007F41A0"/>
    <w:rsid w:val="007F5346"/>
    <w:rsid w:val="007F742B"/>
    <w:rsid w:val="007F7CBC"/>
    <w:rsid w:val="0080130F"/>
    <w:rsid w:val="008026FE"/>
    <w:rsid w:val="00802F9F"/>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12E1"/>
    <w:rsid w:val="008413A8"/>
    <w:rsid w:val="00842443"/>
    <w:rsid w:val="00843285"/>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21A5"/>
    <w:rsid w:val="00872847"/>
    <w:rsid w:val="00872C9B"/>
    <w:rsid w:val="00872FDB"/>
    <w:rsid w:val="00873451"/>
    <w:rsid w:val="00873471"/>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AD0"/>
    <w:rsid w:val="00890B66"/>
    <w:rsid w:val="00891109"/>
    <w:rsid w:val="00891BA0"/>
    <w:rsid w:val="00891F38"/>
    <w:rsid w:val="00893E72"/>
    <w:rsid w:val="00896BC2"/>
    <w:rsid w:val="00896C06"/>
    <w:rsid w:val="008A072D"/>
    <w:rsid w:val="008A1815"/>
    <w:rsid w:val="008A1C42"/>
    <w:rsid w:val="008A2D63"/>
    <w:rsid w:val="008A3348"/>
    <w:rsid w:val="008A3889"/>
    <w:rsid w:val="008A4BAF"/>
    <w:rsid w:val="008A5CE1"/>
    <w:rsid w:val="008A5EE6"/>
    <w:rsid w:val="008A6398"/>
    <w:rsid w:val="008B08D3"/>
    <w:rsid w:val="008B19B7"/>
    <w:rsid w:val="008B19E5"/>
    <w:rsid w:val="008B1C16"/>
    <w:rsid w:val="008B2AC1"/>
    <w:rsid w:val="008B2D32"/>
    <w:rsid w:val="008B2E9A"/>
    <w:rsid w:val="008B2EB5"/>
    <w:rsid w:val="008B3ADE"/>
    <w:rsid w:val="008B44C3"/>
    <w:rsid w:val="008B5255"/>
    <w:rsid w:val="008B5613"/>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1695"/>
    <w:rsid w:val="008D3273"/>
    <w:rsid w:val="008D3CA0"/>
    <w:rsid w:val="008D4696"/>
    <w:rsid w:val="008D6805"/>
    <w:rsid w:val="008D6CA8"/>
    <w:rsid w:val="008D733D"/>
    <w:rsid w:val="008E0A95"/>
    <w:rsid w:val="008E14A5"/>
    <w:rsid w:val="008E2336"/>
    <w:rsid w:val="008E27A7"/>
    <w:rsid w:val="008E33F9"/>
    <w:rsid w:val="008E34A2"/>
    <w:rsid w:val="008E34AE"/>
    <w:rsid w:val="008E4D1F"/>
    <w:rsid w:val="008E78B4"/>
    <w:rsid w:val="008F047E"/>
    <w:rsid w:val="008F2841"/>
    <w:rsid w:val="008F2959"/>
    <w:rsid w:val="008F399F"/>
    <w:rsid w:val="008F39F1"/>
    <w:rsid w:val="008F432C"/>
    <w:rsid w:val="008F7ADB"/>
    <w:rsid w:val="009001B0"/>
    <w:rsid w:val="00900940"/>
    <w:rsid w:val="0090288E"/>
    <w:rsid w:val="009038F9"/>
    <w:rsid w:val="009055D6"/>
    <w:rsid w:val="00905AAB"/>
    <w:rsid w:val="009068C3"/>
    <w:rsid w:val="00910432"/>
    <w:rsid w:val="0091050C"/>
    <w:rsid w:val="00911A8D"/>
    <w:rsid w:val="009139AF"/>
    <w:rsid w:val="009148EC"/>
    <w:rsid w:val="00914CD2"/>
    <w:rsid w:val="00915EF9"/>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EAC"/>
    <w:rsid w:val="00937529"/>
    <w:rsid w:val="00940DF7"/>
    <w:rsid w:val="00942405"/>
    <w:rsid w:val="00942818"/>
    <w:rsid w:val="00942AD5"/>
    <w:rsid w:val="00943510"/>
    <w:rsid w:val="00943A66"/>
    <w:rsid w:val="00944371"/>
    <w:rsid w:val="00944529"/>
    <w:rsid w:val="00944CB3"/>
    <w:rsid w:val="00944D10"/>
    <w:rsid w:val="009450BA"/>
    <w:rsid w:val="009454B6"/>
    <w:rsid w:val="00946929"/>
    <w:rsid w:val="00946D29"/>
    <w:rsid w:val="009474F2"/>
    <w:rsid w:val="00950E7E"/>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1E1A"/>
    <w:rsid w:val="00971EE1"/>
    <w:rsid w:val="00973197"/>
    <w:rsid w:val="00973E14"/>
    <w:rsid w:val="009753FB"/>
    <w:rsid w:val="00975439"/>
    <w:rsid w:val="009756E8"/>
    <w:rsid w:val="00977317"/>
    <w:rsid w:val="009802E6"/>
    <w:rsid w:val="009804C2"/>
    <w:rsid w:val="00980C11"/>
    <w:rsid w:val="00981086"/>
    <w:rsid w:val="0098257D"/>
    <w:rsid w:val="0098302F"/>
    <w:rsid w:val="009831C8"/>
    <w:rsid w:val="00983D28"/>
    <w:rsid w:val="0098474E"/>
    <w:rsid w:val="00986110"/>
    <w:rsid w:val="009869D5"/>
    <w:rsid w:val="00987232"/>
    <w:rsid w:val="00990EC7"/>
    <w:rsid w:val="00991B95"/>
    <w:rsid w:val="00991D3E"/>
    <w:rsid w:val="00992840"/>
    <w:rsid w:val="00994CC4"/>
    <w:rsid w:val="00995379"/>
    <w:rsid w:val="009968AC"/>
    <w:rsid w:val="00996911"/>
    <w:rsid w:val="00996DB9"/>
    <w:rsid w:val="009976E7"/>
    <w:rsid w:val="009A10DD"/>
    <w:rsid w:val="009A11ED"/>
    <w:rsid w:val="009A1795"/>
    <w:rsid w:val="009A1CB0"/>
    <w:rsid w:val="009A2547"/>
    <w:rsid w:val="009A4D66"/>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5A7A"/>
    <w:rsid w:val="009B7972"/>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EAF"/>
    <w:rsid w:val="009D2F47"/>
    <w:rsid w:val="009D2FB9"/>
    <w:rsid w:val="009D3067"/>
    <w:rsid w:val="009D39EE"/>
    <w:rsid w:val="009D3B45"/>
    <w:rsid w:val="009D4E78"/>
    <w:rsid w:val="009D5487"/>
    <w:rsid w:val="009D55B8"/>
    <w:rsid w:val="009D674E"/>
    <w:rsid w:val="009D6791"/>
    <w:rsid w:val="009D7835"/>
    <w:rsid w:val="009D7EFC"/>
    <w:rsid w:val="009E05AC"/>
    <w:rsid w:val="009E172B"/>
    <w:rsid w:val="009E1B55"/>
    <w:rsid w:val="009E204D"/>
    <w:rsid w:val="009E253A"/>
    <w:rsid w:val="009E25F5"/>
    <w:rsid w:val="009E39C0"/>
    <w:rsid w:val="009E4CE0"/>
    <w:rsid w:val="009E5367"/>
    <w:rsid w:val="009E7B93"/>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31CC"/>
    <w:rsid w:val="00A0323B"/>
    <w:rsid w:val="00A04192"/>
    <w:rsid w:val="00A04474"/>
    <w:rsid w:val="00A0482C"/>
    <w:rsid w:val="00A0762A"/>
    <w:rsid w:val="00A0776D"/>
    <w:rsid w:val="00A0778F"/>
    <w:rsid w:val="00A1004D"/>
    <w:rsid w:val="00A1182A"/>
    <w:rsid w:val="00A13DB8"/>
    <w:rsid w:val="00A13F1D"/>
    <w:rsid w:val="00A1482D"/>
    <w:rsid w:val="00A14AA1"/>
    <w:rsid w:val="00A155ED"/>
    <w:rsid w:val="00A15F37"/>
    <w:rsid w:val="00A16191"/>
    <w:rsid w:val="00A163E3"/>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3F81"/>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B7"/>
    <w:rsid w:val="00A7149F"/>
    <w:rsid w:val="00A72C93"/>
    <w:rsid w:val="00A72DB7"/>
    <w:rsid w:val="00A72FF3"/>
    <w:rsid w:val="00A7410C"/>
    <w:rsid w:val="00A76082"/>
    <w:rsid w:val="00A7784F"/>
    <w:rsid w:val="00A80A07"/>
    <w:rsid w:val="00A811D6"/>
    <w:rsid w:val="00A81F02"/>
    <w:rsid w:val="00A82860"/>
    <w:rsid w:val="00A82F07"/>
    <w:rsid w:val="00A832BA"/>
    <w:rsid w:val="00A8331B"/>
    <w:rsid w:val="00A84963"/>
    <w:rsid w:val="00A85048"/>
    <w:rsid w:val="00A86552"/>
    <w:rsid w:val="00A86CD7"/>
    <w:rsid w:val="00A86D7C"/>
    <w:rsid w:val="00A8750A"/>
    <w:rsid w:val="00A90878"/>
    <w:rsid w:val="00A91266"/>
    <w:rsid w:val="00A9266A"/>
    <w:rsid w:val="00A9310D"/>
    <w:rsid w:val="00A9367D"/>
    <w:rsid w:val="00A950F4"/>
    <w:rsid w:val="00A9567A"/>
    <w:rsid w:val="00A96783"/>
    <w:rsid w:val="00A97098"/>
    <w:rsid w:val="00A97337"/>
    <w:rsid w:val="00A97B08"/>
    <w:rsid w:val="00A97D41"/>
    <w:rsid w:val="00A97F5A"/>
    <w:rsid w:val="00A97F92"/>
    <w:rsid w:val="00AA253F"/>
    <w:rsid w:val="00AA25AC"/>
    <w:rsid w:val="00AA2D58"/>
    <w:rsid w:val="00AA4A27"/>
    <w:rsid w:val="00AA4C06"/>
    <w:rsid w:val="00AA5C1F"/>
    <w:rsid w:val="00AB0ED1"/>
    <w:rsid w:val="00AB16F3"/>
    <w:rsid w:val="00AB23B0"/>
    <w:rsid w:val="00AB2567"/>
    <w:rsid w:val="00AB365A"/>
    <w:rsid w:val="00AB3A63"/>
    <w:rsid w:val="00AB4201"/>
    <w:rsid w:val="00AB48D1"/>
    <w:rsid w:val="00AB4CFC"/>
    <w:rsid w:val="00AB58F2"/>
    <w:rsid w:val="00AB5E9F"/>
    <w:rsid w:val="00AB61EF"/>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6E19"/>
    <w:rsid w:val="00AE724E"/>
    <w:rsid w:val="00AE76A8"/>
    <w:rsid w:val="00AF09A0"/>
    <w:rsid w:val="00AF18A6"/>
    <w:rsid w:val="00AF18CA"/>
    <w:rsid w:val="00AF1CFD"/>
    <w:rsid w:val="00AF2AE5"/>
    <w:rsid w:val="00AF2B00"/>
    <w:rsid w:val="00AF3AD9"/>
    <w:rsid w:val="00AF4640"/>
    <w:rsid w:val="00AF5145"/>
    <w:rsid w:val="00AF58F3"/>
    <w:rsid w:val="00AF5ABA"/>
    <w:rsid w:val="00B0149D"/>
    <w:rsid w:val="00B014EC"/>
    <w:rsid w:val="00B04FE2"/>
    <w:rsid w:val="00B05126"/>
    <w:rsid w:val="00B05777"/>
    <w:rsid w:val="00B05B5E"/>
    <w:rsid w:val="00B06527"/>
    <w:rsid w:val="00B10C3C"/>
    <w:rsid w:val="00B11271"/>
    <w:rsid w:val="00B112A5"/>
    <w:rsid w:val="00B116FF"/>
    <w:rsid w:val="00B118CF"/>
    <w:rsid w:val="00B12833"/>
    <w:rsid w:val="00B12D4B"/>
    <w:rsid w:val="00B140E9"/>
    <w:rsid w:val="00B14557"/>
    <w:rsid w:val="00B15438"/>
    <w:rsid w:val="00B17281"/>
    <w:rsid w:val="00B2131B"/>
    <w:rsid w:val="00B21BF3"/>
    <w:rsid w:val="00B222E2"/>
    <w:rsid w:val="00B230A8"/>
    <w:rsid w:val="00B2310C"/>
    <w:rsid w:val="00B23328"/>
    <w:rsid w:val="00B233EC"/>
    <w:rsid w:val="00B23B81"/>
    <w:rsid w:val="00B242B1"/>
    <w:rsid w:val="00B24E54"/>
    <w:rsid w:val="00B25994"/>
    <w:rsid w:val="00B27646"/>
    <w:rsid w:val="00B32C18"/>
    <w:rsid w:val="00B33037"/>
    <w:rsid w:val="00B33732"/>
    <w:rsid w:val="00B35C7E"/>
    <w:rsid w:val="00B36448"/>
    <w:rsid w:val="00B377F6"/>
    <w:rsid w:val="00B416B1"/>
    <w:rsid w:val="00B426A2"/>
    <w:rsid w:val="00B43376"/>
    <w:rsid w:val="00B44209"/>
    <w:rsid w:val="00B44CCC"/>
    <w:rsid w:val="00B44EAC"/>
    <w:rsid w:val="00B465C8"/>
    <w:rsid w:val="00B472C9"/>
    <w:rsid w:val="00B47F43"/>
    <w:rsid w:val="00B506AC"/>
    <w:rsid w:val="00B50D1B"/>
    <w:rsid w:val="00B50E2C"/>
    <w:rsid w:val="00B51364"/>
    <w:rsid w:val="00B517ED"/>
    <w:rsid w:val="00B52F1D"/>
    <w:rsid w:val="00B53170"/>
    <w:rsid w:val="00B536A8"/>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C25"/>
    <w:rsid w:val="00B71D4B"/>
    <w:rsid w:val="00B7214B"/>
    <w:rsid w:val="00B73636"/>
    <w:rsid w:val="00B7370E"/>
    <w:rsid w:val="00B73C08"/>
    <w:rsid w:val="00B7439C"/>
    <w:rsid w:val="00B7657E"/>
    <w:rsid w:val="00B76793"/>
    <w:rsid w:val="00B76C42"/>
    <w:rsid w:val="00B76CBC"/>
    <w:rsid w:val="00B80C63"/>
    <w:rsid w:val="00B8390E"/>
    <w:rsid w:val="00B83CA3"/>
    <w:rsid w:val="00B84219"/>
    <w:rsid w:val="00B84275"/>
    <w:rsid w:val="00B85068"/>
    <w:rsid w:val="00B85154"/>
    <w:rsid w:val="00B85546"/>
    <w:rsid w:val="00B85D8E"/>
    <w:rsid w:val="00B87377"/>
    <w:rsid w:val="00B87EA2"/>
    <w:rsid w:val="00B913AA"/>
    <w:rsid w:val="00B91481"/>
    <w:rsid w:val="00B91B01"/>
    <w:rsid w:val="00B9205C"/>
    <w:rsid w:val="00B925BA"/>
    <w:rsid w:val="00B9335D"/>
    <w:rsid w:val="00B95673"/>
    <w:rsid w:val="00B961C8"/>
    <w:rsid w:val="00B96C2A"/>
    <w:rsid w:val="00B96FD4"/>
    <w:rsid w:val="00B97971"/>
    <w:rsid w:val="00BA04E1"/>
    <w:rsid w:val="00BA18D1"/>
    <w:rsid w:val="00BA19E0"/>
    <w:rsid w:val="00BA1F8A"/>
    <w:rsid w:val="00BA258C"/>
    <w:rsid w:val="00BA3EDB"/>
    <w:rsid w:val="00BA4441"/>
    <w:rsid w:val="00BA46B0"/>
    <w:rsid w:val="00BA47DA"/>
    <w:rsid w:val="00BA4E91"/>
    <w:rsid w:val="00BA5E59"/>
    <w:rsid w:val="00BA75F2"/>
    <w:rsid w:val="00BB0F17"/>
    <w:rsid w:val="00BB1A4D"/>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509"/>
    <w:rsid w:val="00BD483C"/>
    <w:rsid w:val="00BD4931"/>
    <w:rsid w:val="00BD499A"/>
    <w:rsid w:val="00BD532D"/>
    <w:rsid w:val="00BD6F03"/>
    <w:rsid w:val="00BD6FDA"/>
    <w:rsid w:val="00BD77B5"/>
    <w:rsid w:val="00BD7A55"/>
    <w:rsid w:val="00BE00E4"/>
    <w:rsid w:val="00BE0270"/>
    <w:rsid w:val="00BE0809"/>
    <w:rsid w:val="00BE0965"/>
    <w:rsid w:val="00BE0DD9"/>
    <w:rsid w:val="00BE180E"/>
    <w:rsid w:val="00BE19CD"/>
    <w:rsid w:val="00BE21A8"/>
    <w:rsid w:val="00BE2827"/>
    <w:rsid w:val="00BE2CB6"/>
    <w:rsid w:val="00BE331A"/>
    <w:rsid w:val="00BE4444"/>
    <w:rsid w:val="00BE48B7"/>
    <w:rsid w:val="00BE53BC"/>
    <w:rsid w:val="00BE5574"/>
    <w:rsid w:val="00BE5CDB"/>
    <w:rsid w:val="00BE5DF3"/>
    <w:rsid w:val="00BE61B0"/>
    <w:rsid w:val="00BE6BFF"/>
    <w:rsid w:val="00BE74B4"/>
    <w:rsid w:val="00BE74D9"/>
    <w:rsid w:val="00BF01E3"/>
    <w:rsid w:val="00BF0B84"/>
    <w:rsid w:val="00BF19A0"/>
    <w:rsid w:val="00BF2280"/>
    <w:rsid w:val="00BF4843"/>
    <w:rsid w:val="00BF4B69"/>
    <w:rsid w:val="00BF5F81"/>
    <w:rsid w:val="00BF6462"/>
    <w:rsid w:val="00BF6F8D"/>
    <w:rsid w:val="00BF7738"/>
    <w:rsid w:val="00C00471"/>
    <w:rsid w:val="00C014C6"/>
    <w:rsid w:val="00C01839"/>
    <w:rsid w:val="00C02043"/>
    <w:rsid w:val="00C04F50"/>
    <w:rsid w:val="00C05E06"/>
    <w:rsid w:val="00C06FED"/>
    <w:rsid w:val="00C0702F"/>
    <w:rsid w:val="00C076D3"/>
    <w:rsid w:val="00C1041E"/>
    <w:rsid w:val="00C1044E"/>
    <w:rsid w:val="00C10EB9"/>
    <w:rsid w:val="00C11E3B"/>
    <w:rsid w:val="00C1233D"/>
    <w:rsid w:val="00C12AFA"/>
    <w:rsid w:val="00C12E9A"/>
    <w:rsid w:val="00C1412B"/>
    <w:rsid w:val="00C15578"/>
    <w:rsid w:val="00C15648"/>
    <w:rsid w:val="00C16E21"/>
    <w:rsid w:val="00C17244"/>
    <w:rsid w:val="00C2000C"/>
    <w:rsid w:val="00C2020E"/>
    <w:rsid w:val="00C20265"/>
    <w:rsid w:val="00C20ECB"/>
    <w:rsid w:val="00C2112F"/>
    <w:rsid w:val="00C21CA1"/>
    <w:rsid w:val="00C21FB0"/>
    <w:rsid w:val="00C24142"/>
    <w:rsid w:val="00C257EC"/>
    <w:rsid w:val="00C25B6F"/>
    <w:rsid w:val="00C25CA5"/>
    <w:rsid w:val="00C2648E"/>
    <w:rsid w:val="00C27BE2"/>
    <w:rsid w:val="00C30194"/>
    <w:rsid w:val="00C30F85"/>
    <w:rsid w:val="00C31129"/>
    <w:rsid w:val="00C313E7"/>
    <w:rsid w:val="00C3210B"/>
    <w:rsid w:val="00C34EEE"/>
    <w:rsid w:val="00C3561D"/>
    <w:rsid w:val="00C3654D"/>
    <w:rsid w:val="00C369FE"/>
    <w:rsid w:val="00C410EB"/>
    <w:rsid w:val="00C4196A"/>
    <w:rsid w:val="00C41CF2"/>
    <w:rsid w:val="00C41E47"/>
    <w:rsid w:val="00C42F00"/>
    <w:rsid w:val="00C43453"/>
    <w:rsid w:val="00C44924"/>
    <w:rsid w:val="00C45097"/>
    <w:rsid w:val="00C45C93"/>
    <w:rsid w:val="00C461EB"/>
    <w:rsid w:val="00C50077"/>
    <w:rsid w:val="00C51720"/>
    <w:rsid w:val="00C520D7"/>
    <w:rsid w:val="00C52B35"/>
    <w:rsid w:val="00C5372C"/>
    <w:rsid w:val="00C53769"/>
    <w:rsid w:val="00C55CD2"/>
    <w:rsid w:val="00C55E91"/>
    <w:rsid w:val="00C562B4"/>
    <w:rsid w:val="00C56832"/>
    <w:rsid w:val="00C57869"/>
    <w:rsid w:val="00C60DF5"/>
    <w:rsid w:val="00C60FED"/>
    <w:rsid w:val="00C627A3"/>
    <w:rsid w:val="00C64C2F"/>
    <w:rsid w:val="00C6528A"/>
    <w:rsid w:val="00C6546A"/>
    <w:rsid w:val="00C66586"/>
    <w:rsid w:val="00C665F2"/>
    <w:rsid w:val="00C6749F"/>
    <w:rsid w:val="00C676D3"/>
    <w:rsid w:val="00C7054B"/>
    <w:rsid w:val="00C71439"/>
    <w:rsid w:val="00C72AE9"/>
    <w:rsid w:val="00C7375A"/>
    <w:rsid w:val="00C74048"/>
    <w:rsid w:val="00C74654"/>
    <w:rsid w:val="00C74775"/>
    <w:rsid w:val="00C74F0F"/>
    <w:rsid w:val="00C754A8"/>
    <w:rsid w:val="00C75F55"/>
    <w:rsid w:val="00C76725"/>
    <w:rsid w:val="00C81867"/>
    <w:rsid w:val="00C81AAE"/>
    <w:rsid w:val="00C81EBC"/>
    <w:rsid w:val="00C847AA"/>
    <w:rsid w:val="00C84C3A"/>
    <w:rsid w:val="00C86300"/>
    <w:rsid w:val="00C8679C"/>
    <w:rsid w:val="00C8685C"/>
    <w:rsid w:val="00C87645"/>
    <w:rsid w:val="00C87795"/>
    <w:rsid w:val="00C8788F"/>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0D84"/>
    <w:rsid w:val="00CB1580"/>
    <w:rsid w:val="00CB1A38"/>
    <w:rsid w:val="00CB21B3"/>
    <w:rsid w:val="00CB4072"/>
    <w:rsid w:val="00CB484D"/>
    <w:rsid w:val="00CB517A"/>
    <w:rsid w:val="00CB61C9"/>
    <w:rsid w:val="00CB62EE"/>
    <w:rsid w:val="00CB7176"/>
    <w:rsid w:val="00CB730C"/>
    <w:rsid w:val="00CC0F4A"/>
    <w:rsid w:val="00CC0F68"/>
    <w:rsid w:val="00CC22B1"/>
    <w:rsid w:val="00CC2C93"/>
    <w:rsid w:val="00CC2DC4"/>
    <w:rsid w:val="00CC384C"/>
    <w:rsid w:val="00CC3988"/>
    <w:rsid w:val="00CC53F4"/>
    <w:rsid w:val="00CC5AF3"/>
    <w:rsid w:val="00CC68BF"/>
    <w:rsid w:val="00CC7C45"/>
    <w:rsid w:val="00CD13B1"/>
    <w:rsid w:val="00CD28EC"/>
    <w:rsid w:val="00CD2DC8"/>
    <w:rsid w:val="00CD561D"/>
    <w:rsid w:val="00CD6EF5"/>
    <w:rsid w:val="00CE052C"/>
    <w:rsid w:val="00CE20E9"/>
    <w:rsid w:val="00CE3DD3"/>
    <w:rsid w:val="00CE4053"/>
    <w:rsid w:val="00CE4954"/>
    <w:rsid w:val="00CE5016"/>
    <w:rsid w:val="00CE596E"/>
    <w:rsid w:val="00CE5FEF"/>
    <w:rsid w:val="00CF1160"/>
    <w:rsid w:val="00CF3482"/>
    <w:rsid w:val="00CF4940"/>
    <w:rsid w:val="00CF4CD4"/>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D74"/>
    <w:rsid w:val="00D1722E"/>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44F3"/>
    <w:rsid w:val="00D3524B"/>
    <w:rsid w:val="00D357A4"/>
    <w:rsid w:val="00D36238"/>
    <w:rsid w:val="00D36EB1"/>
    <w:rsid w:val="00D375AE"/>
    <w:rsid w:val="00D4029D"/>
    <w:rsid w:val="00D44EDE"/>
    <w:rsid w:val="00D451A5"/>
    <w:rsid w:val="00D451C1"/>
    <w:rsid w:val="00D45283"/>
    <w:rsid w:val="00D477C3"/>
    <w:rsid w:val="00D47DE7"/>
    <w:rsid w:val="00D51271"/>
    <w:rsid w:val="00D51828"/>
    <w:rsid w:val="00D53DC5"/>
    <w:rsid w:val="00D5465D"/>
    <w:rsid w:val="00D5517C"/>
    <w:rsid w:val="00D55406"/>
    <w:rsid w:val="00D5615B"/>
    <w:rsid w:val="00D56E84"/>
    <w:rsid w:val="00D60759"/>
    <w:rsid w:val="00D6293F"/>
    <w:rsid w:val="00D662E4"/>
    <w:rsid w:val="00D670D3"/>
    <w:rsid w:val="00D67470"/>
    <w:rsid w:val="00D6792F"/>
    <w:rsid w:val="00D67B99"/>
    <w:rsid w:val="00D67FC9"/>
    <w:rsid w:val="00D709B5"/>
    <w:rsid w:val="00D729D1"/>
    <w:rsid w:val="00D73AAF"/>
    <w:rsid w:val="00D73B35"/>
    <w:rsid w:val="00D74B08"/>
    <w:rsid w:val="00D75B0B"/>
    <w:rsid w:val="00D775D2"/>
    <w:rsid w:val="00D77855"/>
    <w:rsid w:val="00D80D94"/>
    <w:rsid w:val="00D8118D"/>
    <w:rsid w:val="00D82637"/>
    <w:rsid w:val="00D83283"/>
    <w:rsid w:val="00D83D34"/>
    <w:rsid w:val="00D85155"/>
    <w:rsid w:val="00D85F3F"/>
    <w:rsid w:val="00D86169"/>
    <w:rsid w:val="00D8652F"/>
    <w:rsid w:val="00D86BF7"/>
    <w:rsid w:val="00D875E3"/>
    <w:rsid w:val="00D91421"/>
    <w:rsid w:val="00D91CBD"/>
    <w:rsid w:val="00D926E9"/>
    <w:rsid w:val="00D92B66"/>
    <w:rsid w:val="00D9348C"/>
    <w:rsid w:val="00D93CC1"/>
    <w:rsid w:val="00D93EB9"/>
    <w:rsid w:val="00D942A3"/>
    <w:rsid w:val="00D9583F"/>
    <w:rsid w:val="00D970E9"/>
    <w:rsid w:val="00D97E49"/>
    <w:rsid w:val="00DA08BF"/>
    <w:rsid w:val="00DA12F6"/>
    <w:rsid w:val="00DA1419"/>
    <w:rsid w:val="00DA2603"/>
    <w:rsid w:val="00DA2818"/>
    <w:rsid w:val="00DA2876"/>
    <w:rsid w:val="00DA40F8"/>
    <w:rsid w:val="00DA4875"/>
    <w:rsid w:val="00DA4917"/>
    <w:rsid w:val="00DA5117"/>
    <w:rsid w:val="00DA61B6"/>
    <w:rsid w:val="00DA68C1"/>
    <w:rsid w:val="00DA71E0"/>
    <w:rsid w:val="00DA7808"/>
    <w:rsid w:val="00DB35F8"/>
    <w:rsid w:val="00DB57B7"/>
    <w:rsid w:val="00DB67E5"/>
    <w:rsid w:val="00DB68CD"/>
    <w:rsid w:val="00DB73AB"/>
    <w:rsid w:val="00DB761D"/>
    <w:rsid w:val="00DB7C28"/>
    <w:rsid w:val="00DC13F9"/>
    <w:rsid w:val="00DC1D72"/>
    <w:rsid w:val="00DC2E2C"/>
    <w:rsid w:val="00DC545A"/>
    <w:rsid w:val="00DC585F"/>
    <w:rsid w:val="00DC77F2"/>
    <w:rsid w:val="00DC78DB"/>
    <w:rsid w:val="00DC7F7D"/>
    <w:rsid w:val="00DD028A"/>
    <w:rsid w:val="00DD08C1"/>
    <w:rsid w:val="00DD19C8"/>
    <w:rsid w:val="00DD2278"/>
    <w:rsid w:val="00DD4F3E"/>
    <w:rsid w:val="00DD67A9"/>
    <w:rsid w:val="00DD6EA5"/>
    <w:rsid w:val="00DD75C0"/>
    <w:rsid w:val="00DD7C85"/>
    <w:rsid w:val="00DE2574"/>
    <w:rsid w:val="00DE2C5D"/>
    <w:rsid w:val="00DE4BD0"/>
    <w:rsid w:val="00DE58C9"/>
    <w:rsid w:val="00DE58D7"/>
    <w:rsid w:val="00DE62BC"/>
    <w:rsid w:val="00DE7572"/>
    <w:rsid w:val="00DE7BEA"/>
    <w:rsid w:val="00DE7DAF"/>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A"/>
    <w:rsid w:val="00E064CA"/>
    <w:rsid w:val="00E06813"/>
    <w:rsid w:val="00E10053"/>
    <w:rsid w:val="00E111E4"/>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7AC"/>
    <w:rsid w:val="00E413A5"/>
    <w:rsid w:val="00E41AF8"/>
    <w:rsid w:val="00E4296A"/>
    <w:rsid w:val="00E43380"/>
    <w:rsid w:val="00E44274"/>
    <w:rsid w:val="00E44603"/>
    <w:rsid w:val="00E44F24"/>
    <w:rsid w:val="00E455B4"/>
    <w:rsid w:val="00E46FA7"/>
    <w:rsid w:val="00E47328"/>
    <w:rsid w:val="00E479DF"/>
    <w:rsid w:val="00E505D8"/>
    <w:rsid w:val="00E50B83"/>
    <w:rsid w:val="00E51530"/>
    <w:rsid w:val="00E5252F"/>
    <w:rsid w:val="00E528C6"/>
    <w:rsid w:val="00E535BD"/>
    <w:rsid w:val="00E54596"/>
    <w:rsid w:val="00E55578"/>
    <w:rsid w:val="00E56000"/>
    <w:rsid w:val="00E56378"/>
    <w:rsid w:val="00E57208"/>
    <w:rsid w:val="00E57457"/>
    <w:rsid w:val="00E60175"/>
    <w:rsid w:val="00E6160E"/>
    <w:rsid w:val="00E63F00"/>
    <w:rsid w:val="00E642DC"/>
    <w:rsid w:val="00E64F71"/>
    <w:rsid w:val="00E64FC2"/>
    <w:rsid w:val="00E65240"/>
    <w:rsid w:val="00E67590"/>
    <w:rsid w:val="00E67A1A"/>
    <w:rsid w:val="00E703B1"/>
    <w:rsid w:val="00E7045C"/>
    <w:rsid w:val="00E718EA"/>
    <w:rsid w:val="00E71A6E"/>
    <w:rsid w:val="00E72E55"/>
    <w:rsid w:val="00E733D4"/>
    <w:rsid w:val="00E74228"/>
    <w:rsid w:val="00E74759"/>
    <w:rsid w:val="00E74A24"/>
    <w:rsid w:val="00E76B64"/>
    <w:rsid w:val="00E76BBE"/>
    <w:rsid w:val="00E77101"/>
    <w:rsid w:val="00E808C9"/>
    <w:rsid w:val="00E80943"/>
    <w:rsid w:val="00E8112D"/>
    <w:rsid w:val="00E81135"/>
    <w:rsid w:val="00E8148D"/>
    <w:rsid w:val="00E818C3"/>
    <w:rsid w:val="00E82DCF"/>
    <w:rsid w:val="00E84DC4"/>
    <w:rsid w:val="00E8561A"/>
    <w:rsid w:val="00E85DE8"/>
    <w:rsid w:val="00E86672"/>
    <w:rsid w:val="00E86E0C"/>
    <w:rsid w:val="00E900CF"/>
    <w:rsid w:val="00E908C6"/>
    <w:rsid w:val="00E91C75"/>
    <w:rsid w:val="00E93450"/>
    <w:rsid w:val="00E9372A"/>
    <w:rsid w:val="00E93AFD"/>
    <w:rsid w:val="00E95441"/>
    <w:rsid w:val="00E97970"/>
    <w:rsid w:val="00E979A5"/>
    <w:rsid w:val="00E97C50"/>
    <w:rsid w:val="00EA03D8"/>
    <w:rsid w:val="00EA0DB1"/>
    <w:rsid w:val="00EA507E"/>
    <w:rsid w:val="00EA5747"/>
    <w:rsid w:val="00EA73BA"/>
    <w:rsid w:val="00EA7745"/>
    <w:rsid w:val="00EB0F28"/>
    <w:rsid w:val="00EB2336"/>
    <w:rsid w:val="00EB3B2C"/>
    <w:rsid w:val="00EB3F96"/>
    <w:rsid w:val="00EB3FA2"/>
    <w:rsid w:val="00EB4281"/>
    <w:rsid w:val="00EB4A81"/>
    <w:rsid w:val="00EB5264"/>
    <w:rsid w:val="00EB52AE"/>
    <w:rsid w:val="00EB60D0"/>
    <w:rsid w:val="00EC03D2"/>
    <w:rsid w:val="00EC0719"/>
    <w:rsid w:val="00EC09D5"/>
    <w:rsid w:val="00EC202F"/>
    <w:rsid w:val="00EC25AB"/>
    <w:rsid w:val="00EC3DF9"/>
    <w:rsid w:val="00EC4F93"/>
    <w:rsid w:val="00EC5679"/>
    <w:rsid w:val="00EC5764"/>
    <w:rsid w:val="00EC5DBE"/>
    <w:rsid w:val="00EC5DE6"/>
    <w:rsid w:val="00EC6C65"/>
    <w:rsid w:val="00ED0FC6"/>
    <w:rsid w:val="00ED1C3D"/>
    <w:rsid w:val="00ED2264"/>
    <w:rsid w:val="00ED2B1D"/>
    <w:rsid w:val="00ED412E"/>
    <w:rsid w:val="00ED41A8"/>
    <w:rsid w:val="00ED44D2"/>
    <w:rsid w:val="00ED452D"/>
    <w:rsid w:val="00ED5035"/>
    <w:rsid w:val="00ED5703"/>
    <w:rsid w:val="00ED5DD6"/>
    <w:rsid w:val="00ED6AF2"/>
    <w:rsid w:val="00ED7BC1"/>
    <w:rsid w:val="00ED7D71"/>
    <w:rsid w:val="00EE04D4"/>
    <w:rsid w:val="00EE0C71"/>
    <w:rsid w:val="00EE29BE"/>
    <w:rsid w:val="00EE3C34"/>
    <w:rsid w:val="00EE3CDA"/>
    <w:rsid w:val="00EF038F"/>
    <w:rsid w:val="00EF07C3"/>
    <w:rsid w:val="00EF1944"/>
    <w:rsid w:val="00EF26AE"/>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303C"/>
    <w:rsid w:val="00F132E8"/>
    <w:rsid w:val="00F14FD4"/>
    <w:rsid w:val="00F15550"/>
    <w:rsid w:val="00F15E8D"/>
    <w:rsid w:val="00F175AF"/>
    <w:rsid w:val="00F205FB"/>
    <w:rsid w:val="00F20DD7"/>
    <w:rsid w:val="00F21CF8"/>
    <w:rsid w:val="00F22A61"/>
    <w:rsid w:val="00F2357B"/>
    <w:rsid w:val="00F236DC"/>
    <w:rsid w:val="00F2464A"/>
    <w:rsid w:val="00F247BC"/>
    <w:rsid w:val="00F2482C"/>
    <w:rsid w:val="00F25233"/>
    <w:rsid w:val="00F25CBC"/>
    <w:rsid w:val="00F25EAF"/>
    <w:rsid w:val="00F26AC0"/>
    <w:rsid w:val="00F2719D"/>
    <w:rsid w:val="00F27A13"/>
    <w:rsid w:val="00F27FA1"/>
    <w:rsid w:val="00F3032E"/>
    <w:rsid w:val="00F3124A"/>
    <w:rsid w:val="00F313E8"/>
    <w:rsid w:val="00F31EFE"/>
    <w:rsid w:val="00F3277D"/>
    <w:rsid w:val="00F32822"/>
    <w:rsid w:val="00F33D35"/>
    <w:rsid w:val="00F340F0"/>
    <w:rsid w:val="00F343CC"/>
    <w:rsid w:val="00F34F38"/>
    <w:rsid w:val="00F350F7"/>
    <w:rsid w:val="00F35253"/>
    <w:rsid w:val="00F36405"/>
    <w:rsid w:val="00F36950"/>
    <w:rsid w:val="00F371E7"/>
    <w:rsid w:val="00F3733F"/>
    <w:rsid w:val="00F37625"/>
    <w:rsid w:val="00F41E87"/>
    <w:rsid w:val="00F42120"/>
    <w:rsid w:val="00F428F8"/>
    <w:rsid w:val="00F43B83"/>
    <w:rsid w:val="00F44EBF"/>
    <w:rsid w:val="00F45EB3"/>
    <w:rsid w:val="00F47502"/>
    <w:rsid w:val="00F47697"/>
    <w:rsid w:val="00F517F3"/>
    <w:rsid w:val="00F520B3"/>
    <w:rsid w:val="00F53132"/>
    <w:rsid w:val="00F531DC"/>
    <w:rsid w:val="00F538EF"/>
    <w:rsid w:val="00F53F88"/>
    <w:rsid w:val="00F54274"/>
    <w:rsid w:val="00F5456A"/>
    <w:rsid w:val="00F545FC"/>
    <w:rsid w:val="00F547FE"/>
    <w:rsid w:val="00F54E12"/>
    <w:rsid w:val="00F56446"/>
    <w:rsid w:val="00F573F1"/>
    <w:rsid w:val="00F57AF7"/>
    <w:rsid w:val="00F57CAC"/>
    <w:rsid w:val="00F61FFC"/>
    <w:rsid w:val="00F62A93"/>
    <w:rsid w:val="00F62AF9"/>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31D"/>
    <w:rsid w:val="00F87CAF"/>
    <w:rsid w:val="00F87FA4"/>
    <w:rsid w:val="00F90063"/>
    <w:rsid w:val="00F90A3D"/>
    <w:rsid w:val="00F91222"/>
    <w:rsid w:val="00F92352"/>
    <w:rsid w:val="00F9267B"/>
    <w:rsid w:val="00F93B7A"/>
    <w:rsid w:val="00F94ACE"/>
    <w:rsid w:val="00F94AE5"/>
    <w:rsid w:val="00F94EAF"/>
    <w:rsid w:val="00F96581"/>
    <w:rsid w:val="00F96AF2"/>
    <w:rsid w:val="00F96F50"/>
    <w:rsid w:val="00F970A7"/>
    <w:rsid w:val="00F9738D"/>
    <w:rsid w:val="00FA2228"/>
    <w:rsid w:val="00FA2A03"/>
    <w:rsid w:val="00FA57BD"/>
    <w:rsid w:val="00FA59C4"/>
    <w:rsid w:val="00FA59C6"/>
    <w:rsid w:val="00FA5A3F"/>
    <w:rsid w:val="00FA5B04"/>
    <w:rsid w:val="00FA5F7E"/>
    <w:rsid w:val="00FA6AEF"/>
    <w:rsid w:val="00FB0167"/>
    <w:rsid w:val="00FB0EBB"/>
    <w:rsid w:val="00FB13A2"/>
    <w:rsid w:val="00FB15EB"/>
    <w:rsid w:val="00FB3A29"/>
    <w:rsid w:val="00FB41AF"/>
    <w:rsid w:val="00FB47DE"/>
    <w:rsid w:val="00FB4A1C"/>
    <w:rsid w:val="00FB60CC"/>
    <w:rsid w:val="00FB60FB"/>
    <w:rsid w:val="00FB6635"/>
    <w:rsid w:val="00FB6B37"/>
    <w:rsid w:val="00FC111B"/>
    <w:rsid w:val="00FC1DE5"/>
    <w:rsid w:val="00FC206B"/>
    <w:rsid w:val="00FC23C7"/>
    <w:rsid w:val="00FC2710"/>
    <w:rsid w:val="00FC3E40"/>
    <w:rsid w:val="00FC3FB7"/>
    <w:rsid w:val="00FC4378"/>
    <w:rsid w:val="00FC52C1"/>
    <w:rsid w:val="00FC5A6D"/>
    <w:rsid w:val="00FC5B2A"/>
    <w:rsid w:val="00FC65D0"/>
    <w:rsid w:val="00FD0284"/>
    <w:rsid w:val="00FD1078"/>
    <w:rsid w:val="00FD12DB"/>
    <w:rsid w:val="00FD1306"/>
    <w:rsid w:val="00FD3713"/>
    <w:rsid w:val="00FD4587"/>
    <w:rsid w:val="00FD57E2"/>
    <w:rsid w:val="00FD66DD"/>
    <w:rsid w:val="00FD6921"/>
    <w:rsid w:val="00FD77C2"/>
    <w:rsid w:val="00FE1F8E"/>
    <w:rsid w:val="00FE2ED7"/>
    <w:rsid w:val="00FE329D"/>
    <w:rsid w:val="00FE34B0"/>
    <w:rsid w:val="00FE3AFB"/>
    <w:rsid w:val="00FE3E6F"/>
    <w:rsid w:val="00FE58C5"/>
    <w:rsid w:val="00FE5ADE"/>
    <w:rsid w:val="00FE5C0B"/>
    <w:rsid w:val="00FE788D"/>
    <w:rsid w:val="00FE797F"/>
    <w:rsid w:val="00FF052C"/>
    <w:rsid w:val="00FF05CB"/>
    <w:rsid w:val="00FF1B26"/>
    <w:rsid w:val="00FF211E"/>
    <w:rsid w:val="00FF27FB"/>
    <w:rsid w:val="00FF3E5C"/>
    <w:rsid w:val="00FF4658"/>
    <w:rsid w:val="00FF556A"/>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 w:type="paragraph" w:styleId="Textvysvtlivek">
    <w:name w:val="endnote text"/>
    <w:basedOn w:val="Normln"/>
    <w:link w:val="TextvysvtlivekChar"/>
    <w:uiPriority w:val="99"/>
    <w:semiHidden/>
    <w:unhideWhenUsed/>
    <w:rsid w:val="00AA4A27"/>
    <w:rPr>
      <w:sz w:val="20"/>
    </w:rPr>
  </w:style>
  <w:style w:type="character" w:customStyle="1" w:styleId="TextvysvtlivekChar">
    <w:name w:val="Text vysvětlivek Char"/>
    <w:basedOn w:val="Standardnpsmoodstavce"/>
    <w:link w:val="Textvysvtlivek"/>
    <w:uiPriority w:val="99"/>
    <w:semiHidden/>
    <w:rsid w:val="00AA4A27"/>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AA4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23495743">
      <w:bodyDiv w:val="1"/>
      <w:marLeft w:val="0"/>
      <w:marRight w:val="0"/>
      <w:marTop w:val="0"/>
      <w:marBottom w:val="0"/>
      <w:divBdr>
        <w:top w:val="none" w:sz="0" w:space="0" w:color="auto"/>
        <w:left w:val="none" w:sz="0" w:space="0" w:color="auto"/>
        <w:bottom w:val="none" w:sz="0" w:space="0" w:color="auto"/>
        <w:right w:val="none" w:sz="0" w:space="0" w:color="auto"/>
      </w:divBdr>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569268724">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66416294">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0395961">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8109095">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13955578">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1573451">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51300818">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aonlin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aonlin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monitor.cz/kategorie/cba-hypomoni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aonlin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1144</Words>
  <Characters>6751</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4</cp:revision>
  <cp:lastPrinted>2024-08-12T11:42:00Z</cp:lastPrinted>
  <dcterms:created xsi:type="dcterms:W3CDTF">2024-10-10T11:26:00Z</dcterms:created>
  <dcterms:modified xsi:type="dcterms:W3CDTF">2024-10-10T12:50:00Z</dcterms:modified>
</cp:coreProperties>
</file>