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5735" w14:textId="2C960805" w:rsidR="00DF154D"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w:t>
      </w:r>
      <w:proofErr w:type="spellStart"/>
      <w:r w:rsidRPr="00616069">
        <w:rPr>
          <w:rFonts w:ascii="Calibri" w:hAnsi="Calibri" w:cs="Calibri"/>
          <w:b/>
          <w:color w:val="13576B"/>
          <w:sz w:val="32"/>
          <w:szCs w:val="32"/>
        </w:rPr>
        <w:t>Hypomonitor</w:t>
      </w:r>
      <w:proofErr w:type="spellEnd"/>
      <w:r w:rsidRPr="00616069">
        <w:rPr>
          <w:rFonts w:ascii="Calibri" w:hAnsi="Calibri" w:cs="Calibri"/>
          <w:b/>
          <w:color w:val="13576B"/>
          <w:sz w:val="32"/>
          <w:szCs w:val="32"/>
        </w:rPr>
        <w:t xml:space="preserve">: </w:t>
      </w:r>
      <w:r w:rsidR="00641532">
        <w:rPr>
          <w:rFonts w:ascii="Calibri" w:hAnsi="Calibri" w:cs="Calibri"/>
          <w:b/>
          <w:color w:val="13576B"/>
          <w:sz w:val="32"/>
          <w:szCs w:val="32"/>
        </w:rPr>
        <w:t xml:space="preserve">Nové hypotéky s novým rokem nezvolnily </w:t>
      </w:r>
    </w:p>
    <w:p w14:paraId="4F3263AD" w14:textId="739DB911" w:rsidR="00574588" w:rsidRPr="00DF154D" w:rsidRDefault="00641532" w:rsidP="003D3759">
      <w:pPr>
        <w:rPr>
          <w:rFonts w:ascii="Calibri" w:hAnsi="Calibri" w:cs="Calibri"/>
          <w:b/>
          <w:color w:val="13576B"/>
          <w:sz w:val="24"/>
          <w:szCs w:val="24"/>
          <w:highlight w:val="yellow"/>
        </w:rPr>
      </w:pPr>
      <w:r>
        <w:rPr>
          <w:rFonts w:ascii="Calibri" w:hAnsi="Calibri" w:cs="Calibri"/>
          <w:b/>
          <w:color w:val="13576B"/>
          <w:sz w:val="24"/>
          <w:szCs w:val="24"/>
        </w:rPr>
        <w:t xml:space="preserve">Leden naznačuje pokračující silné objemy nových hypoték navzdory nepatrnému poklesu </w:t>
      </w:r>
      <w:r w:rsidR="000070E2" w:rsidRPr="00DF154D">
        <w:rPr>
          <w:rFonts w:ascii="Calibri" w:hAnsi="Calibri" w:cs="Calibri"/>
          <w:b/>
          <w:color w:val="13576B"/>
          <w:sz w:val="24"/>
          <w:szCs w:val="24"/>
        </w:rPr>
        <w:t>průměrn</w:t>
      </w:r>
      <w:r w:rsidR="005D05FD">
        <w:rPr>
          <w:rFonts w:ascii="Calibri" w:hAnsi="Calibri" w:cs="Calibri"/>
          <w:b/>
          <w:color w:val="13576B"/>
          <w:sz w:val="24"/>
          <w:szCs w:val="24"/>
        </w:rPr>
        <w:t>é</w:t>
      </w:r>
      <w:r w:rsidR="000070E2" w:rsidRPr="00DF154D">
        <w:rPr>
          <w:rFonts w:ascii="Calibri" w:hAnsi="Calibri" w:cs="Calibri"/>
          <w:b/>
          <w:color w:val="13576B"/>
          <w:sz w:val="24"/>
          <w:szCs w:val="24"/>
        </w:rPr>
        <w:t xml:space="preserve"> sazb</w:t>
      </w:r>
      <w:r w:rsidR="00465526" w:rsidRPr="00DF154D">
        <w:rPr>
          <w:rFonts w:ascii="Calibri" w:hAnsi="Calibri" w:cs="Calibri"/>
          <w:b/>
          <w:color w:val="13576B"/>
          <w:sz w:val="24"/>
          <w:szCs w:val="24"/>
        </w:rPr>
        <w:t>y</w:t>
      </w:r>
      <w:r w:rsidR="00530245" w:rsidRPr="00DF154D">
        <w:rPr>
          <w:rFonts w:ascii="Calibri" w:hAnsi="Calibri" w:cs="Calibri"/>
          <w:b/>
          <w:color w:val="13576B"/>
          <w:sz w:val="24"/>
          <w:szCs w:val="24"/>
        </w:rPr>
        <w:t xml:space="preserve"> na </w:t>
      </w:r>
      <w:r w:rsidR="00574588" w:rsidRPr="00DF154D">
        <w:rPr>
          <w:rFonts w:ascii="Calibri" w:hAnsi="Calibri" w:cs="Calibri"/>
          <w:b/>
          <w:color w:val="13576B"/>
          <w:sz w:val="24"/>
          <w:szCs w:val="24"/>
        </w:rPr>
        <w:t>4,</w:t>
      </w:r>
      <w:r>
        <w:rPr>
          <w:rFonts w:ascii="Calibri" w:hAnsi="Calibri" w:cs="Calibri"/>
          <w:b/>
          <w:color w:val="13576B"/>
          <w:sz w:val="24"/>
          <w:szCs w:val="24"/>
        </w:rPr>
        <w:t>78</w:t>
      </w:r>
      <w:r w:rsidR="00C878A2">
        <w:rPr>
          <w:rFonts w:ascii="Calibri" w:hAnsi="Calibri" w:cs="Calibri"/>
          <w:b/>
          <w:color w:val="13576B"/>
          <w:sz w:val="24"/>
          <w:szCs w:val="24"/>
        </w:rPr>
        <w:t xml:space="preserve"> </w:t>
      </w:r>
      <w:r w:rsidR="00574588" w:rsidRPr="00DF154D">
        <w:rPr>
          <w:rFonts w:ascii="Calibri" w:hAnsi="Calibri" w:cs="Calibri"/>
          <w:b/>
          <w:color w:val="13576B"/>
          <w:sz w:val="24"/>
          <w:szCs w:val="24"/>
        </w:rPr>
        <w:t>%</w:t>
      </w:r>
      <w:r w:rsidR="007E0A18" w:rsidRPr="00DF154D">
        <w:rPr>
          <w:rFonts w:ascii="Calibri" w:hAnsi="Calibri" w:cs="Calibri"/>
          <w:b/>
          <w:color w:val="13576B"/>
          <w:sz w:val="24"/>
          <w:szCs w:val="24"/>
        </w:rPr>
        <w:t>.</w:t>
      </w:r>
    </w:p>
    <w:bookmarkEnd w:id="0"/>
    <w:p w14:paraId="5E7258BB" w14:textId="77777777" w:rsidR="0001227F" w:rsidRPr="002138C0" w:rsidRDefault="0001227F" w:rsidP="0001227F">
      <w:pPr>
        <w:rPr>
          <w:rFonts w:ascii="Calibri" w:hAnsi="Calibri" w:cs="Calibri"/>
          <w:b/>
          <w:bCs/>
          <w:highlight w:val="yellow"/>
        </w:rPr>
      </w:pPr>
    </w:p>
    <w:p w14:paraId="30EA56FC" w14:textId="75F25E50" w:rsidR="00C56C08" w:rsidRDefault="00C878A2" w:rsidP="0001227F">
      <w:pPr>
        <w:rPr>
          <w:rFonts w:ascii="Calibri" w:hAnsi="Calibri" w:cs="Calibri"/>
          <w:b/>
          <w:color w:val="13576B"/>
          <w:sz w:val="22"/>
          <w:szCs w:val="22"/>
        </w:rPr>
      </w:pPr>
      <w:r w:rsidRPr="00C878A2">
        <w:rPr>
          <w:rFonts w:ascii="Calibri" w:hAnsi="Calibri" w:cs="Calibri"/>
          <w:b/>
          <w:color w:val="13576B"/>
          <w:sz w:val="22"/>
          <w:szCs w:val="22"/>
        </w:rPr>
        <w:t xml:space="preserve">Praha, </w:t>
      </w:r>
      <w:r w:rsidR="00C011B3">
        <w:rPr>
          <w:rFonts w:ascii="Calibri" w:hAnsi="Calibri" w:cs="Calibri"/>
          <w:b/>
          <w:color w:val="13576B"/>
          <w:sz w:val="22"/>
          <w:szCs w:val="22"/>
        </w:rPr>
        <w:t>17</w:t>
      </w:r>
      <w:r w:rsidRPr="00C878A2">
        <w:rPr>
          <w:rFonts w:ascii="Calibri" w:hAnsi="Calibri" w:cs="Calibri"/>
          <w:b/>
          <w:color w:val="13576B"/>
          <w:sz w:val="22"/>
          <w:szCs w:val="22"/>
        </w:rPr>
        <w:t>. únor</w:t>
      </w:r>
      <w:r w:rsidR="00C011B3">
        <w:rPr>
          <w:rFonts w:ascii="Calibri" w:hAnsi="Calibri" w:cs="Calibri"/>
          <w:b/>
          <w:color w:val="13576B"/>
          <w:sz w:val="22"/>
          <w:szCs w:val="22"/>
        </w:rPr>
        <w:t>a</w:t>
      </w:r>
      <w:r w:rsidRPr="00C878A2">
        <w:rPr>
          <w:rFonts w:ascii="Calibri" w:hAnsi="Calibri" w:cs="Calibri"/>
          <w:b/>
          <w:color w:val="13576B"/>
          <w:sz w:val="22"/>
          <w:szCs w:val="22"/>
        </w:rPr>
        <w:t xml:space="preserve"> </w:t>
      </w:r>
      <w:proofErr w:type="gramStart"/>
      <w:r w:rsidRPr="00C878A2">
        <w:rPr>
          <w:rFonts w:ascii="Calibri" w:hAnsi="Calibri" w:cs="Calibri"/>
          <w:b/>
          <w:color w:val="13576B"/>
          <w:sz w:val="22"/>
          <w:szCs w:val="22"/>
        </w:rPr>
        <w:t>2025 – V</w:t>
      </w:r>
      <w:proofErr w:type="gramEnd"/>
      <w:r w:rsidRPr="00C878A2">
        <w:rPr>
          <w:rFonts w:ascii="Calibri" w:hAnsi="Calibri" w:cs="Calibri"/>
          <w:b/>
          <w:color w:val="13576B"/>
          <w:sz w:val="22"/>
          <w:szCs w:val="22"/>
        </w:rPr>
        <w:t xml:space="preserve"> lednu 2025 poskytly banky</w:t>
      </w:r>
      <w:r w:rsidR="00C011B3">
        <w:rPr>
          <w:rFonts w:ascii="Calibri" w:hAnsi="Calibri" w:cs="Calibri"/>
          <w:b/>
          <w:color w:val="13576B"/>
          <w:sz w:val="22"/>
          <w:szCs w:val="22"/>
        </w:rPr>
        <w:t xml:space="preserve"> a stavební spořitelny</w:t>
      </w:r>
      <w:r w:rsidRPr="00C878A2">
        <w:rPr>
          <w:rFonts w:ascii="Calibri" w:hAnsi="Calibri" w:cs="Calibri"/>
          <w:b/>
          <w:color w:val="13576B"/>
          <w:sz w:val="22"/>
          <w:szCs w:val="22"/>
        </w:rPr>
        <w:t xml:space="preserve"> nové hypotéky za 18,7 miliardy Kč. Oproti prosinci aktivita zeslábla o 5 %, což lze ovšem přičíst sezónnímu vlivu </w:t>
      </w:r>
      <w:r>
        <w:rPr>
          <w:rFonts w:ascii="Calibri" w:hAnsi="Calibri" w:cs="Calibri"/>
          <w:b/>
          <w:color w:val="13576B"/>
          <w:sz w:val="22"/>
          <w:szCs w:val="22"/>
        </w:rPr>
        <w:t>začátku roku</w:t>
      </w:r>
      <w:r w:rsidRPr="00C878A2">
        <w:rPr>
          <w:rFonts w:ascii="Calibri" w:hAnsi="Calibri" w:cs="Calibri"/>
          <w:b/>
          <w:color w:val="13576B"/>
          <w:sz w:val="22"/>
          <w:szCs w:val="22"/>
        </w:rPr>
        <w:t xml:space="preserve">. Průměrná sazba hypoték nepatrně dále klesla na 4,78 % z prosincových 4,8 %. Její meziroční pokles o </w:t>
      </w:r>
      <w:proofErr w:type="gramStart"/>
      <w:r w:rsidRPr="00C878A2">
        <w:rPr>
          <w:rFonts w:ascii="Calibri" w:hAnsi="Calibri" w:cs="Calibri"/>
          <w:b/>
          <w:color w:val="13576B"/>
          <w:sz w:val="22"/>
          <w:szCs w:val="22"/>
        </w:rPr>
        <w:t>0,74%</w:t>
      </w:r>
      <w:proofErr w:type="gramEnd"/>
      <w:r w:rsidRPr="00C878A2">
        <w:rPr>
          <w:rFonts w:ascii="Calibri" w:hAnsi="Calibri" w:cs="Calibri"/>
          <w:b/>
          <w:color w:val="13576B"/>
          <w:sz w:val="22"/>
          <w:szCs w:val="22"/>
        </w:rPr>
        <w:t xml:space="preserve"> bodu snižuje měsíční splátky přibližně o </w:t>
      </w:r>
      <w:r w:rsidR="007323B9">
        <w:rPr>
          <w:rFonts w:ascii="Calibri" w:hAnsi="Calibri" w:cs="Calibri"/>
          <w:b/>
          <w:color w:val="13576B"/>
          <w:sz w:val="22"/>
          <w:szCs w:val="22"/>
        </w:rPr>
        <w:t>2</w:t>
      </w:r>
      <w:r w:rsidRPr="00C878A2">
        <w:rPr>
          <w:rFonts w:ascii="Calibri" w:hAnsi="Calibri" w:cs="Calibri"/>
          <w:b/>
          <w:color w:val="13576B"/>
          <w:sz w:val="22"/>
          <w:szCs w:val="22"/>
        </w:rPr>
        <w:t xml:space="preserve"> % čistého příjmu žadatele o hypotéku. </w:t>
      </w:r>
      <w:r w:rsidR="00843286">
        <w:rPr>
          <w:rFonts w:ascii="Calibri" w:hAnsi="Calibri" w:cs="Calibri"/>
          <w:b/>
          <w:color w:val="13576B"/>
          <w:sz w:val="22"/>
          <w:szCs w:val="22"/>
        </w:rPr>
        <w:t>Naopak průměrná výše hypotéky v lednu dále vzrostla na 3,92 miliónu korun</w:t>
      </w:r>
      <w:r w:rsidR="007323B9">
        <w:rPr>
          <w:rFonts w:ascii="Calibri" w:hAnsi="Calibri" w:cs="Calibri"/>
          <w:b/>
          <w:color w:val="13576B"/>
          <w:sz w:val="22"/>
          <w:szCs w:val="22"/>
        </w:rPr>
        <w:t>, což zvedlo měsíční splátku o přibližně 3 % tohoto příjmu.</w:t>
      </w:r>
      <w:r w:rsidR="00843286">
        <w:rPr>
          <w:rFonts w:ascii="Calibri" w:hAnsi="Calibri" w:cs="Calibri"/>
          <w:b/>
          <w:color w:val="13576B"/>
          <w:sz w:val="22"/>
          <w:szCs w:val="22"/>
        </w:rPr>
        <w:t xml:space="preserve"> Tento lednový nárůst byl </w:t>
      </w:r>
      <w:r w:rsidR="00843286" w:rsidRPr="00843286">
        <w:rPr>
          <w:rFonts w:ascii="Calibri" w:hAnsi="Calibri" w:cs="Calibri"/>
          <w:b/>
          <w:color w:val="13576B"/>
          <w:sz w:val="22"/>
          <w:szCs w:val="22"/>
        </w:rPr>
        <w:t xml:space="preserve">tažen novými hypotékami na výstavbu, zatímco na koupi nemovitosti </w:t>
      </w:r>
      <w:r w:rsidR="00843286">
        <w:rPr>
          <w:rFonts w:ascii="Calibri" w:hAnsi="Calibri" w:cs="Calibri"/>
          <w:b/>
          <w:color w:val="13576B"/>
          <w:sz w:val="22"/>
          <w:szCs w:val="22"/>
        </w:rPr>
        <w:t xml:space="preserve">její výše </w:t>
      </w:r>
      <w:r w:rsidR="00843286" w:rsidRPr="00843286">
        <w:rPr>
          <w:rFonts w:ascii="Calibri" w:hAnsi="Calibri" w:cs="Calibri"/>
          <w:b/>
          <w:color w:val="13576B"/>
          <w:sz w:val="22"/>
          <w:szCs w:val="22"/>
        </w:rPr>
        <w:t>spíše stagnovala</w:t>
      </w:r>
      <w:r w:rsidR="00843286">
        <w:rPr>
          <w:rFonts w:ascii="Calibri" w:hAnsi="Calibri" w:cs="Calibri"/>
          <w:b/>
          <w:color w:val="13576B"/>
          <w:sz w:val="22"/>
          <w:szCs w:val="22"/>
        </w:rPr>
        <w:t>.</w:t>
      </w:r>
      <w:r w:rsidR="00843286" w:rsidRPr="00843286">
        <w:rPr>
          <w:rFonts w:ascii="Calibri" w:hAnsi="Calibri" w:cs="Calibri"/>
          <w:b/>
          <w:color w:val="13576B"/>
          <w:sz w:val="22"/>
          <w:szCs w:val="22"/>
        </w:rPr>
        <w:t xml:space="preserve"> </w:t>
      </w:r>
      <w:r w:rsidRPr="00C878A2">
        <w:rPr>
          <w:rFonts w:ascii="Calibri" w:hAnsi="Calibri" w:cs="Calibri"/>
          <w:b/>
          <w:color w:val="13576B"/>
          <w:sz w:val="22"/>
          <w:szCs w:val="22"/>
        </w:rPr>
        <w:t>Pokud hypoték</w:t>
      </w:r>
      <w:r w:rsidR="00843286">
        <w:rPr>
          <w:rFonts w:ascii="Calibri" w:hAnsi="Calibri" w:cs="Calibri"/>
          <w:b/>
          <w:color w:val="13576B"/>
          <w:sz w:val="22"/>
          <w:szCs w:val="22"/>
        </w:rPr>
        <w:t>y</w:t>
      </w:r>
      <w:r w:rsidRPr="00C878A2">
        <w:rPr>
          <w:rFonts w:ascii="Calibri" w:hAnsi="Calibri" w:cs="Calibri"/>
          <w:b/>
          <w:color w:val="13576B"/>
          <w:sz w:val="22"/>
          <w:szCs w:val="22"/>
        </w:rPr>
        <w:t xml:space="preserve"> udrží dynamiku z posledních tří měsíců, tak by objem nových hypoték mohl v roce 2025 dosáhnout úrovně 267 miliard Kč, což by představovalo 17% meziroční nárůst. Uvedené informace plynou z údajů ČBA Hypomonitoru, který zachycuje data všech tuzemských bank a stavebních spořitelen poskytujících hypoteční úvěry.</w:t>
      </w:r>
    </w:p>
    <w:p w14:paraId="35C46D8C" w14:textId="77777777" w:rsidR="00C878A2" w:rsidRDefault="00C878A2" w:rsidP="0001227F">
      <w:pPr>
        <w:rPr>
          <w:rFonts w:ascii="Calibri" w:hAnsi="Calibri" w:cs="Calibri"/>
          <w:b/>
          <w:color w:val="13576B"/>
          <w:sz w:val="22"/>
          <w:szCs w:val="22"/>
        </w:rPr>
      </w:pPr>
    </w:p>
    <w:p w14:paraId="44AD2489" w14:textId="546F23E0" w:rsidR="002A5D11" w:rsidRPr="00C53EEF" w:rsidRDefault="005142AC" w:rsidP="002A5D11">
      <w:pPr>
        <w:rPr>
          <w:rFonts w:ascii="Calibri" w:hAnsi="Calibri" w:cs="Calibri"/>
          <w:b/>
          <w:color w:val="13576B"/>
          <w:sz w:val="24"/>
          <w:szCs w:val="24"/>
        </w:rPr>
      </w:pPr>
      <w:r>
        <w:rPr>
          <w:rFonts w:ascii="Calibri" w:hAnsi="Calibri" w:cs="Calibri"/>
          <w:b/>
          <w:color w:val="13576B"/>
          <w:sz w:val="24"/>
          <w:szCs w:val="24"/>
        </w:rPr>
        <w:t>Stále silný lednový objem</w:t>
      </w:r>
      <w:r w:rsidR="002A5D11" w:rsidRPr="00C53EEF">
        <w:rPr>
          <w:rFonts w:ascii="Calibri" w:hAnsi="Calibri" w:cs="Calibri"/>
          <w:b/>
          <w:color w:val="13576B"/>
          <w:sz w:val="24"/>
          <w:szCs w:val="24"/>
        </w:rPr>
        <w:t xml:space="preserve"> poskytnutých hypoték </w:t>
      </w:r>
      <w:r>
        <w:rPr>
          <w:rFonts w:ascii="Calibri" w:hAnsi="Calibri" w:cs="Calibri"/>
          <w:b/>
          <w:color w:val="13576B"/>
          <w:sz w:val="24"/>
          <w:szCs w:val="24"/>
        </w:rPr>
        <w:t>navzdory sezónnímu poklesu</w:t>
      </w:r>
      <w:r w:rsidR="00641532">
        <w:rPr>
          <w:rFonts w:ascii="Calibri" w:hAnsi="Calibri" w:cs="Calibri"/>
          <w:b/>
          <w:color w:val="13576B"/>
          <w:sz w:val="24"/>
          <w:szCs w:val="24"/>
        </w:rPr>
        <w:t xml:space="preserve"> </w:t>
      </w:r>
      <w:r w:rsidR="002A5D11" w:rsidRPr="00C53EEF">
        <w:rPr>
          <w:rFonts w:ascii="Calibri" w:hAnsi="Calibri" w:cs="Calibri"/>
          <w:b/>
          <w:color w:val="13576B"/>
          <w:sz w:val="24"/>
          <w:szCs w:val="24"/>
        </w:rPr>
        <w:t xml:space="preserve"> </w:t>
      </w:r>
    </w:p>
    <w:p w14:paraId="1A2432CD" w14:textId="77777777" w:rsidR="00C56C08" w:rsidRPr="00C53EEF" w:rsidRDefault="00C56C08" w:rsidP="0001227F">
      <w:pPr>
        <w:rPr>
          <w:rFonts w:ascii="Calibri" w:hAnsi="Calibri" w:cs="Calibri"/>
          <w:b/>
          <w:color w:val="13576B"/>
          <w:sz w:val="22"/>
          <w:szCs w:val="22"/>
        </w:rPr>
      </w:pPr>
    </w:p>
    <w:p w14:paraId="35279451" w14:textId="7B4C25BB" w:rsidR="005B4E45" w:rsidRDefault="005B4E45" w:rsidP="00CF5293">
      <w:pPr>
        <w:rPr>
          <w:rFonts w:ascii="Calibri" w:hAnsi="Calibri" w:cs="Calibri"/>
          <w:bCs/>
          <w:sz w:val="22"/>
          <w:szCs w:val="22"/>
        </w:rPr>
      </w:pPr>
      <w:bookmarkStart w:id="2" w:name="_Hlk119308363"/>
      <w:r w:rsidRPr="005B4E45">
        <w:rPr>
          <w:rFonts w:ascii="Calibri" w:hAnsi="Calibri" w:cs="Calibri"/>
          <w:b/>
          <w:sz w:val="22"/>
          <w:szCs w:val="22"/>
        </w:rPr>
        <w:t xml:space="preserve">V lednu poskytly banky a stavební spořitelny skutečně nové hypoteční úvěry za 18,7 mld. Kč a k tomu klienti navíc refinancovali své hypotéky v rozsahu 3,9 mld. Kč. </w:t>
      </w:r>
      <w:r w:rsidRPr="005B4E45">
        <w:rPr>
          <w:rFonts w:ascii="Calibri" w:hAnsi="Calibri" w:cs="Calibri"/>
          <w:bCs/>
          <w:sz w:val="22"/>
          <w:szCs w:val="22"/>
        </w:rPr>
        <w:t>Oproti prosinci tak hypoteční aktivita klesla přibližně o 5 %, což lze ovšem částečně připsat spíše</w:t>
      </w:r>
      <w:r>
        <w:rPr>
          <w:rFonts w:ascii="Calibri" w:hAnsi="Calibri" w:cs="Calibri"/>
          <w:bCs/>
          <w:sz w:val="22"/>
          <w:szCs w:val="22"/>
        </w:rPr>
        <w:t xml:space="preserve"> slabému</w:t>
      </w:r>
      <w:r w:rsidRPr="005B4E45">
        <w:rPr>
          <w:rFonts w:ascii="Calibri" w:hAnsi="Calibri" w:cs="Calibri"/>
          <w:bCs/>
          <w:sz w:val="22"/>
          <w:szCs w:val="22"/>
        </w:rPr>
        <w:t xml:space="preserve"> sezónnímu </w:t>
      </w:r>
      <w:r>
        <w:rPr>
          <w:rFonts w:ascii="Calibri" w:hAnsi="Calibri" w:cs="Calibri"/>
          <w:bCs/>
          <w:sz w:val="22"/>
          <w:szCs w:val="22"/>
        </w:rPr>
        <w:t>začátku každého roku (to je obvykle patrné i v únoru)</w:t>
      </w:r>
      <w:r w:rsidRPr="005B4E45">
        <w:rPr>
          <w:rFonts w:ascii="Calibri" w:hAnsi="Calibri" w:cs="Calibri"/>
          <w:bCs/>
          <w:sz w:val="22"/>
          <w:szCs w:val="22"/>
        </w:rPr>
        <w:t xml:space="preserve">.  </w:t>
      </w:r>
      <w:bookmarkEnd w:id="2"/>
      <w:r w:rsidR="00CF5293" w:rsidRPr="00CF5293">
        <w:rPr>
          <w:rFonts w:ascii="Calibri" w:hAnsi="Calibri" w:cs="Calibri"/>
          <w:bCs/>
          <w:sz w:val="22"/>
          <w:szCs w:val="22"/>
        </w:rPr>
        <w:t>Naopak po sezónní úpravě přinesla lednová čísla nových hypoték nárůst (na přibližně 22,8 mld. Kč ve srovnání s 21,7 m</w:t>
      </w:r>
      <w:r w:rsidR="00C011B3">
        <w:rPr>
          <w:rFonts w:ascii="Calibri" w:hAnsi="Calibri" w:cs="Calibri"/>
          <w:bCs/>
          <w:sz w:val="22"/>
          <w:szCs w:val="22"/>
        </w:rPr>
        <w:t>ld.</w:t>
      </w:r>
      <w:r w:rsidR="00CF5293" w:rsidRPr="00CF5293">
        <w:rPr>
          <w:rFonts w:ascii="Calibri" w:hAnsi="Calibri" w:cs="Calibri"/>
          <w:bCs/>
          <w:sz w:val="22"/>
          <w:szCs w:val="22"/>
        </w:rPr>
        <w:t xml:space="preserve"> v předchozích třech měsících) a dostala se tak na přibližně o 33 % vyšší úroveň ve srovnání s první polovinou minulého roku. V meziročním vyjádření růst objemu poskytnutých hypoték v lednu zesílil na 72 % z prosincových 55 % a po </w:t>
      </w:r>
      <w:proofErr w:type="gramStart"/>
      <w:r w:rsidR="00CF5293" w:rsidRPr="00CF5293">
        <w:rPr>
          <w:rFonts w:ascii="Calibri" w:hAnsi="Calibri" w:cs="Calibri"/>
          <w:bCs/>
          <w:sz w:val="22"/>
          <w:szCs w:val="22"/>
        </w:rPr>
        <w:t>83%</w:t>
      </w:r>
      <w:proofErr w:type="gramEnd"/>
      <w:r w:rsidR="00CF5293" w:rsidRPr="00CF5293">
        <w:rPr>
          <w:rFonts w:ascii="Calibri" w:hAnsi="Calibri" w:cs="Calibri"/>
          <w:bCs/>
          <w:sz w:val="22"/>
          <w:szCs w:val="22"/>
        </w:rPr>
        <w:t xml:space="preserve"> meziročním nárůstu v minulém roce. </w:t>
      </w:r>
    </w:p>
    <w:p w14:paraId="38E2CA1E" w14:textId="46ABC070" w:rsidR="00CF5293" w:rsidRDefault="00CF5293" w:rsidP="00CF5293">
      <w:pPr>
        <w:rPr>
          <w:rFonts w:ascii="Calibri" w:hAnsi="Calibri" w:cs="Calibri"/>
          <w:color w:val="000000"/>
          <w:sz w:val="22"/>
          <w:szCs w:val="22"/>
        </w:rPr>
      </w:pPr>
      <w:r w:rsidRPr="005B4E45">
        <w:rPr>
          <w:rFonts w:ascii="Calibri" w:hAnsi="Calibri" w:cs="Calibri"/>
          <w:noProof/>
          <w:sz w:val="22"/>
          <w:szCs w:val="22"/>
          <w:highlight w:val="yellow"/>
        </w:rPr>
        <mc:AlternateContent>
          <mc:Choice Requires="wps">
            <w:drawing>
              <wp:anchor distT="0" distB="0" distL="114300" distR="114300" simplePos="0" relativeHeight="251676672" behindDoc="0" locked="0" layoutInCell="1" allowOverlap="1" wp14:anchorId="13805053" wp14:editId="12D11472">
                <wp:simplePos x="0" y="0"/>
                <wp:positionH relativeFrom="margin">
                  <wp:align>left</wp:align>
                </wp:positionH>
                <wp:positionV relativeFrom="paragraph">
                  <wp:posOffset>174625</wp:posOffset>
                </wp:positionV>
                <wp:extent cx="6519545" cy="1226820"/>
                <wp:effectExtent l="0" t="0" r="14605" b="11430"/>
                <wp:wrapTopAndBottom/>
                <wp:docPr id="1319296764" name="Rectangle 1"/>
                <wp:cNvGraphicFramePr/>
                <a:graphic xmlns:a="http://schemas.openxmlformats.org/drawingml/2006/main">
                  <a:graphicData uri="http://schemas.microsoft.com/office/word/2010/wordprocessingShape">
                    <wps:wsp>
                      <wps:cNvSpPr/>
                      <wps:spPr>
                        <a:xfrm>
                          <a:off x="0" y="0"/>
                          <a:ext cx="6519545" cy="12268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417E9F" w14:textId="54D81FF8" w:rsidR="00A02F5D" w:rsidRPr="00A72DB7" w:rsidRDefault="00A02F5D" w:rsidP="00A02F5D">
                            <w:pPr>
                              <w:rPr>
                                <w:rFonts w:ascii="Calibri" w:hAnsi="Calibri" w:cs="Calibri"/>
                                <w:b/>
                                <w:bCs/>
                                <w:sz w:val="22"/>
                                <w:szCs w:val="22"/>
                              </w:rPr>
                            </w:pPr>
                            <w:r w:rsidRPr="0028530F">
                              <w:rPr>
                                <w:rFonts w:ascii="Calibri" w:hAnsi="Calibri" w:cs="Calibri"/>
                                <w:i/>
                                <w:iCs/>
                                <w:sz w:val="22"/>
                                <w:szCs w:val="22"/>
                              </w:rPr>
                              <w:t>„</w:t>
                            </w:r>
                            <w:r w:rsidR="00F62C6B" w:rsidRPr="00F62C6B">
                              <w:rPr>
                                <w:rFonts w:ascii="Calibri" w:hAnsi="Calibri" w:cs="Calibri"/>
                                <w:i/>
                                <w:iCs/>
                                <w:sz w:val="22"/>
                                <w:szCs w:val="22"/>
                              </w:rPr>
                              <w:t>Na chování domácností je vidět, jak sledují vývoj na nemovitostním trhu. Ceny bytů a domů loni zrychlily růst, který při omezené nabídce nových projektů může pokračovat i v roce 2025. Klienti svá rozhodnutí o novém bydlení urychlují, protože váhání s nákupem se může v příštích měsících ve výsledku prodražit. Proto i v obvykle slabším lednu zájem o hypotéky pokračoval a objemy prodejů byly slušné</w:t>
                            </w:r>
                            <w:r w:rsidRPr="0028530F">
                              <w:rPr>
                                <w:rFonts w:ascii="Calibri" w:hAnsi="Calibri" w:cs="Calibri"/>
                                <w:i/>
                                <w:iCs/>
                                <w:sz w:val="22"/>
                                <w:szCs w:val="22"/>
                              </w:rPr>
                              <w:t xml:space="preserve">,“ </w:t>
                            </w:r>
                            <w:r w:rsidRPr="0028530F">
                              <w:rPr>
                                <w:rFonts w:ascii="Calibri" w:hAnsi="Calibri" w:cs="Calibri"/>
                                <w:b/>
                                <w:bCs/>
                                <w:sz w:val="22"/>
                                <w:szCs w:val="22"/>
                              </w:rPr>
                              <w:t xml:space="preserve">říká </w:t>
                            </w:r>
                            <w:r w:rsidR="00F62C6B">
                              <w:rPr>
                                <w:rFonts w:ascii="Calibri" w:hAnsi="Calibri" w:cs="Calibri"/>
                                <w:b/>
                                <w:bCs/>
                                <w:sz w:val="22"/>
                                <w:szCs w:val="22"/>
                              </w:rPr>
                              <w:t>Martin Vašek</w:t>
                            </w:r>
                            <w:r w:rsidRPr="0028530F">
                              <w:rPr>
                                <w:rFonts w:ascii="Calibri" w:hAnsi="Calibri" w:cs="Calibri"/>
                                <w:b/>
                                <w:bCs/>
                                <w:sz w:val="22"/>
                                <w:szCs w:val="22"/>
                              </w:rPr>
                              <w:t xml:space="preserve">, </w:t>
                            </w:r>
                            <w:r w:rsidR="00F62C6B" w:rsidRPr="00F62C6B">
                              <w:rPr>
                                <w:rFonts w:ascii="Calibri" w:hAnsi="Calibri" w:cs="Calibri"/>
                                <w:b/>
                                <w:bCs/>
                                <w:sz w:val="22"/>
                                <w:szCs w:val="22"/>
                              </w:rPr>
                              <w:t>generální ředitel a předseda představenstva ČSOB Hypoteční banky</w:t>
                            </w:r>
                            <w:r w:rsidRPr="0028530F">
                              <w:rPr>
                                <w:rFonts w:ascii="Calibri" w:hAnsi="Calibri" w:cs="Calibri"/>
                                <w:b/>
                                <w:bCs/>
                                <w:sz w:val="22"/>
                                <w:szCs w:val="22"/>
                              </w:rPr>
                              <w:t>.</w:t>
                            </w:r>
                          </w:p>
                          <w:p w14:paraId="0B44AA3D" w14:textId="54A6D858" w:rsidR="00C16E21" w:rsidRPr="00A72DB7" w:rsidRDefault="00C16E21" w:rsidP="00BE4C20">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5053" id="Rectangle 1" o:spid="_x0000_s1026" style="position:absolute;left:0;text-align:left;margin-left:0;margin-top:13.75pt;width:513.35pt;height:96.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" fillcolor="white [3201]" strokecolor="black [3213]" strokeweight=".5pt">
                <v:textbox>
                  <w:txbxContent>
                    <w:p w14:paraId="44417E9F" w14:textId="54D81FF8" w:rsidR="00A02F5D" w:rsidRPr="00A72DB7" w:rsidRDefault="00A02F5D" w:rsidP="00A02F5D">
                      <w:pPr>
                        <w:rPr>
                          <w:rFonts w:ascii="Calibri" w:hAnsi="Calibri" w:cs="Calibri"/>
                          <w:b/>
                          <w:bCs/>
                          <w:sz w:val="22"/>
                          <w:szCs w:val="22"/>
                        </w:rPr>
                      </w:pPr>
                      <w:r w:rsidRPr="0028530F">
                        <w:rPr>
                          <w:rFonts w:ascii="Calibri" w:hAnsi="Calibri" w:cs="Calibri"/>
                          <w:i/>
                          <w:iCs/>
                          <w:sz w:val="22"/>
                          <w:szCs w:val="22"/>
                        </w:rPr>
                        <w:t>„</w:t>
                      </w:r>
                      <w:r w:rsidR="00F62C6B" w:rsidRPr="00F62C6B">
                        <w:rPr>
                          <w:rFonts w:ascii="Calibri" w:hAnsi="Calibri" w:cs="Calibri"/>
                          <w:i/>
                          <w:iCs/>
                          <w:sz w:val="22"/>
                          <w:szCs w:val="22"/>
                        </w:rPr>
                        <w:t>Na chování domácností je vidět, jak sledují vývoj na nemovitostním trhu. Ceny bytů a domů loni zrychlily růst, který při omezené nabídce nových projektů může pokračovat i v roce 2025. Klienti svá rozhodnutí o novém bydlení urychlují, protože váhání s nákupem se může v příštích měsících ve výsledku prodražit. Proto i v obvykle slabším lednu zájem o hypotéky pokračoval a objemy prodejů byly slušné</w:t>
                      </w:r>
                      <w:r w:rsidRPr="0028530F">
                        <w:rPr>
                          <w:rFonts w:ascii="Calibri" w:hAnsi="Calibri" w:cs="Calibri"/>
                          <w:i/>
                          <w:iCs/>
                          <w:sz w:val="22"/>
                          <w:szCs w:val="22"/>
                        </w:rPr>
                        <w:t xml:space="preserve">,“ </w:t>
                      </w:r>
                      <w:r w:rsidRPr="0028530F">
                        <w:rPr>
                          <w:rFonts w:ascii="Calibri" w:hAnsi="Calibri" w:cs="Calibri"/>
                          <w:b/>
                          <w:bCs/>
                          <w:sz w:val="22"/>
                          <w:szCs w:val="22"/>
                        </w:rPr>
                        <w:t xml:space="preserve">říká </w:t>
                      </w:r>
                      <w:r w:rsidR="00F62C6B">
                        <w:rPr>
                          <w:rFonts w:ascii="Calibri" w:hAnsi="Calibri" w:cs="Calibri"/>
                          <w:b/>
                          <w:bCs/>
                          <w:sz w:val="22"/>
                          <w:szCs w:val="22"/>
                        </w:rPr>
                        <w:t>Martin Vašek</w:t>
                      </w:r>
                      <w:r w:rsidRPr="0028530F">
                        <w:rPr>
                          <w:rFonts w:ascii="Calibri" w:hAnsi="Calibri" w:cs="Calibri"/>
                          <w:b/>
                          <w:bCs/>
                          <w:sz w:val="22"/>
                          <w:szCs w:val="22"/>
                        </w:rPr>
                        <w:t xml:space="preserve">, </w:t>
                      </w:r>
                      <w:r w:rsidR="00F62C6B" w:rsidRPr="00F62C6B">
                        <w:rPr>
                          <w:rFonts w:ascii="Calibri" w:hAnsi="Calibri" w:cs="Calibri"/>
                          <w:b/>
                          <w:bCs/>
                          <w:sz w:val="22"/>
                          <w:szCs w:val="22"/>
                        </w:rPr>
                        <w:t>generální ředitel a předseda představenstva ČSOB Hypoteční banky</w:t>
                      </w:r>
                      <w:r w:rsidRPr="0028530F">
                        <w:rPr>
                          <w:rFonts w:ascii="Calibri" w:hAnsi="Calibri" w:cs="Calibri"/>
                          <w:b/>
                          <w:bCs/>
                          <w:sz w:val="22"/>
                          <w:szCs w:val="22"/>
                        </w:rPr>
                        <w:t>.</w:t>
                      </w:r>
                    </w:p>
                    <w:p w14:paraId="0B44AA3D" w14:textId="54A6D858" w:rsidR="00C16E21" w:rsidRPr="00A72DB7" w:rsidRDefault="00C16E21" w:rsidP="00BE4C20">
                      <w:pPr>
                        <w:rPr>
                          <w:rFonts w:ascii="Calibri" w:hAnsi="Calibri" w:cs="Calibri"/>
                          <w:b/>
                          <w:bCs/>
                          <w:sz w:val="22"/>
                          <w:szCs w:val="22"/>
                        </w:rPr>
                      </w:pPr>
                    </w:p>
                  </w:txbxContent>
                </v:textbox>
                <w10:wrap type="topAndBottom" anchorx="margin"/>
              </v:rect>
            </w:pict>
          </mc:Fallback>
        </mc:AlternateContent>
      </w:r>
    </w:p>
    <w:p w14:paraId="003193B3" w14:textId="77777777" w:rsidR="00B418F4" w:rsidRDefault="00B418F4" w:rsidP="005B4E45">
      <w:pPr>
        <w:overflowPunct/>
        <w:autoSpaceDE/>
        <w:autoSpaceDN/>
        <w:adjustRightInd/>
        <w:textAlignment w:val="auto"/>
        <w:rPr>
          <w:rFonts w:ascii="Calibri" w:hAnsi="Calibri" w:cs="Calibri"/>
          <w:b/>
          <w:bCs/>
          <w:color w:val="000000"/>
          <w:sz w:val="22"/>
          <w:szCs w:val="22"/>
        </w:rPr>
      </w:pPr>
    </w:p>
    <w:p w14:paraId="775D47EC" w14:textId="024F58EB" w:rsidR="005B4E45" w:rsidRPr="005B4E45" w:rsidRDefault="00B418F4" w:rsidP="005B4E45">
      <w:pPr>
        <w:overflowPunct/>
        <w:autoSpaceDE/>
        <w:autoSpaceDN/>
        <w:adjustRightInd/>
        <w:textAlignment w:val="auto"/>
        <w:rPr>
          <w:rFonts w:ascii="Calibri" w:hAnsi="Calibri" w:cs="Calibri"/>
          <w:color w:val="000000"/>
          <w:sz w:val="22"/>
          <w:szCs w:val="22"/>
        </w:rPr>
      </w:pPr>
      <w:r w:rsidRPr="00B418F4">
        <w:rPr>
          <w:rFonts w:ascii="Calibri" w:hAnsi="Calibri" w:cs="Calibri"/>
          <w:b/>
          <w:bCs/>
          <w:color w:val="000000"/>
          <w:sz w:val="22"/>
          <w:szCs w:val="22"/>
        </w:rPr>
        <w:t xml:space="preserve">Objem refinancovaných úvěrů (interně či z jiné instituce) v lednu poklesl na 3,9 mld. Kč. </w:t>
      </w:r>
      <w:r w:rsidRPr="00B418F4">
        <w:rPr>
          <w:rFonts w:ascii="Calibri" w:hAnsi="Calibri" w:cs="Calibri"/>
          <w:color w:val="000000"/>
          <w:sz w:val="22"/>
          <w:szCs w:val="22"/>
        </w:rPr>
        <w:t>To je o 1 % méně než průměrných 3,9 miliard refinancovaných loňský rok a o 81 % nad 2,2 miliardami refinancovaný</w:t>
      </w:r>
      <w:r w:rsidR="00843286">
        <w:rPr>
          <w:rFonts w:ascii="Calibri" w:hAnsi="Calibri" w:cs="Calibri"/>
          <w:color w:val="000000"/>
          <w:sz w:val="22"/>
          <w:szCs w:val="22"/>
        </w:rPr>
        <w:t>mi</w:t>
      </w:r>
      <w:r w:rsidRPr="00B418F4">
        <w:rPr>
          <w:rFonts w:ascii="Calibri" w:hAnsi="Calibri" w:cs="Calibri"/>
          <w:color w:val="000000"/>
          <w:sz w:val="22"/>
          <w:szCs w:val="22"/>
        </w:rPr>
        <w:t xml:space="preserve"> v roce 2023. Podíl refinancovaných úvěrů na celkovém objemu poskytnutých hypoték pak zůstal v podstatě beze změny okolo 17,3 %, což je poblíž loňského průměru 16,9 %. </w:t>
      </w:r>
      <w:r w:rsidR="005B4E45" w:rsidRPr="005B4E45">
        <w:rPr>
          <w:rFonts w:ascii="Calibri" w:hAnsi="Calibri" w:cs="Calibri"/>
          <w:color w:val="000000"/>
          <w:sz w:val="22"/>
          <w:szCs w:val="22"/>
        </w:rPr>
        <w:t xml:space="preserve">Nachází se tak poblíž 17,2% podílu z let 2022-2023, ovšem stále pod téměř 29% podílem z období 2020-2021, kdy domácnosti refinancovaly za hypoteční sazbu 2,14 %. Zatímco v lednu 2025 domácnosti refinancovaly za úrokovou sazbu 4,73 %, což je stále o výrazných </w:t>
      </w:r>
      <w:proofErr w:type="gramStart"/>
      <w:r w:rsidR="005B4E45" w:rsidRPr="005B4E45">
        <w:rPr>
          <w:rFonts w:ascii="Calibri" w:hAnsi="Calibri" w:cs="Calibri"/>
          <w:color w:val="000000"/>
          <w:sz w:val="22"/>
          <w:szCs w:val="22"/>
        </w:rPr>
        <w:t>0,8%</w:t>
      </w:r>
      <w:proofErr w:type="gramEnd"/>
      <w:r w:rsidR="005B4E45" w:rsidRPr="005B4E45">
        <w:rPr>
          <w:rFonts w:ascii="Calibri" w:hAnsi="Calibri" w:cs="Calibri"/>
          <w:color w:val="000000"/>
          <w:sz w:val="22"/>
          <w:szCs w:val="22"/>
        </w:rPr>
        <w:t xml:space="preserve"> bodu méně než 5,5 % v lednu 2024. </w:t>
      </w:r>
    </w:p>
    <w:p w14:paraId="3D11BAD7" w14:textId="65C67B13" w:rsidR="00660931" w:rsidRDefault="00A02F5D" w:rsidP="003C185F">
      <w:pPr>
        <w:rPr>
          <w:rFonts w:ascii="Calibri" w:hAnsi="Calibri" w:cs="Calibri"/>
          <w:b/>
          <w:color w:val="13576B"/>
          <w:sz w:val="22"/>
          <w:szCs w:val="22"/>
          <w:highlight w:val="yellow"/>
        </w:rPr>
      </w:pPr>
      <w:r w:rsidRPr="002138C0">
        <w:rPr>
          <w:rFonts w:ascii="Calibri" w:hAnsi="Calibri" w:cs="Calibri"/>
          <w:noProof/>
          <w:sz w:val="22"/>
          <w:szCs w:val="22"/>
          <w:highlight w:val="yellow"/>
        </w:rPr>
        <w:lastRenderedPageBreak/>
        <mc:AlternateContent>
          <mc:Choice Requires="wps">
            <w:drawing>
              <wp:anchor distT="0" distB="0" distL="114300" distR="114300" simplePos="0" relativeHeight="251680768" behindDoc="0" locked="0" layoutInCell="1" allowOverlap="1" wp14:anchorId="32BBC4C7" wp14:editId="359B9CCA">
                <wp:simplePos x="0" y="0"/>
                <wp:positionH relativeFrom="margin">
                  <wp:align>left</wp:align>
                </wp:positionH>
                <wp:positionV relativeFrom="paragraph">
                  <wp:posOffset>328930</wp:posOffset>
                </wp:positionV>
                <wp:extent cx="6519545" cy="1162050"/>
                <wp:effectExtent l="0" t="0" r="14605" b="19050"/>
                <wp:wrapTopAndBottom/>
                <wp:docPr id="485612704" name="Rectangle 1"/>
                <wp:cNvGraphicFramePr/>
                <a:graphic xmlns:a="http://schemas.openxmlformats.org/drawingml/2006/main">
                  <a:graphicData uri="http://schemas.microsoft.com/office/word/2010/wordprocessingShape">
                    <wps:wsp>
                      <wps:cNvSpPr/>
                      <wps:spPr>
                        <a:xfrm>
                          <a:off x="0" y="0"/>
                          <a:ext cx="6519545" cy="11620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680ABA" w14:textId="76BB184D" w:rsidR="001177C9" w:rsidRPr="00CF7439" w:rsidRDefault="00A02F5D" w:rsidP="001177C9">
                            <w:pPr>
                              <w:rPr>
                                <w:rFonts w:ascii="Calibri" w:hAnsi="Calibri" w:cs="Calibri"/>
                                <w:sz w:val="22"/>
                                <w:szCs w:val="22"/>
                              </w:rPr>
                            </w:pPr>
                            <w:r w:rsidRPr="0028530F">
                              <w:rPr>
                                <w:rFonts w:ascii="Calibri" w:hAnsi="Calibri" w:cs="Calibri"/>
                                <w:i/>
                                <w:iCs/>
                                <w:sz w:val="22"/>
                                <w:szCs w:val="22"/>
                              </w:rPr>
                              <w:t xml:space="preserve"> </w:t>
                            </w:r>
                            <w:r w:rsidR="00641532" w:rsidRPr="0028530F">
                              <w:rPr>
                                <w:rFonts w:ascii="Calibri" w:hAnsi="Calibri" w:cs="Calibri"/>
                                <w:i/>
                                <w:iCs/>
                                <w:sz w:val="22"/>
                                <w:szCs w:val="22"/>
                              </w:rPr>
                              <w:t>„</w:t>
                            </w:r>
                            <w:r w:rsidR="001177C9" w:rsidRPr="001177C9">
                              <w:rPr>
                                <w:rFonts w:ascii="Calibri" w:hAnsi="Calibri" w:cs="Calibri"/>
                                <w:i/>
                                <w:iCs/>
                                <w:sz w:val="22"/>
                                <w:szCs w:val="22"/>
                              </w:rPr>
                              <w:t xml:space="preserve">I když leden tradičně přináší větší sezónní pokles objemu nových hypoték, letos tomu však rozhodně není a vidíme slibný start nového hypotečního roku. Průměrná úroková sazba nepatrně klesla na 4,78 %, zatímco průměrná výše nově poskytnuté hypotéky dále roste. Na základě aktuálních čísel by první čtvrtletí mohlo přinést výrazné oživení trhu, protože lidé začínají intenzivněji řešit otázku vlastního bydlení a mírný pokles sazeb může podpořit jejich rozhodování,“ </w:t>
                            </w:r>
                            <w:r w:rsidR="001177C9" w:rsidRPr="00CF7439">
                              <w:rPr>
                                <w:rFonts w:ascii="Calibri" w:hAnsi="Calibri" w:cs="Calibri"/>
                                <w:sz w:val="22"/>
                                <w:szCs w:val="22"/>
                              </w:rPr>
                              <w:t xml:space="preserve">říká </w:t>
                            </w:r>
                            <w:r w:rsidR="001177C9" w:rsidRPr="00CF7439">
                              <w:rPr>
                                <w:rFonts w:ascii="Calibri" w:hAnsi="Calibri" w:cs="Calibri"/>
                                <w:b/>
                                <w:bCs/>
                                <w:sz w:val="22"/>
                                <w:szCs w:val="22"/>
                              </w:rPr>
                              <w:t>Zdeňka Kovářová, manažerka hypotečních úvěrů a spotřebitelského financování</w:t>
                            </w:r>
                            <w:r w:rsidR="001177C9" w:rsidRPr="00CF7439">
                              <w:rPr>
                                <w:rFonts w:ascii="Calibri" w:hAnsi="Calibri" w:cs="Calibri"/>
                                <w:sz w:val="22"/>
                                <w:szCs w:val="22"/>
                              </w:rPr>
                              <w:t>.</w:t>
                            </w:r>
                          </w:p>
                          <w:p w14:paraId="19D087B7" w14:textId="68703B1D" w:rsidR="00641532" w:rsidRPr="00A72DB7" w:rsidRDefault="00641532" w:rsidP="00641532">
                            <w:pPr>
                              <w:rPr>
                                <w:rFonts w:ascii="Calibri" w:hAnsi="Calibri" w:cs="Calibri"/>
                                <w:b/>
                                <w:bCs/>
                                <w:sz w:val="22"/>
                                <w:szCs w:val="22"/>
                              </w:rPr>
                            </w:pPr>
                            <w:proofErr w:type="spellStart"/>
                            <w:r>
                              <w:rPr>
                                <w:rFonts w:ascii="Calibri" w:hAnsi="Calibri" w:cs="Calibri"/>
                                <w:i/>
                                <w:iCs/>
                                <w:sz w:val="22"/>
                                <w:szCs w:val="22"/>
                              </w:rPr>
                              <w:t>xxxxx</w:t>
                            </w:r>
                            <w:proofErr w:type="spellEnd"/>
                            <w:r w:rsidRPr="0028530F">
                              <w:rPr>
                                <w:rFonts w:ascii="Calibri" w:hAnsi="Calibri" w:cs="Calibri"/>
                                <w:i/>
                                <w:iCs/>
                                <w:sz w:val="22"/>
                                <w:szCs w:val="22"/>
                              </w:rPr>
                              <w:t>,</w:t>
                            </w:r>
                            <w:proofErr w:type="gramStart"/>
                            <w:r w:rsidRPr="0028530F">
                              <w:rPr>
                                <w:rFonts w:ascii="Calibri" w:hAnsi="Calibri" w:cs="Calibri"/>
                                <w:i/>
                                <w:iCs/>
                                <w:sz w:val="22"/>
                                <w:szCs w:val="22"/>
                              </w:rPr>
                              <w:t xml:space="preserve">“ </w:t>
                            </w:r>
                            <w:r>
                              <w:rPr>
                                <w:rFonts w:ascii="Calibri" w:hAnsi="Calibri" w:cs="Calibri"/>
                                <w:b/>
                                <w:bCs/>
                                <w:sz w:val="22"/>
                                <w:szCs w:val="22"/>
                              </w:rPr>
                              <w:t xml:space="preserve"> </w:t>
                            </w:r>
                            <w:proofErr w:type="spellStart"/>
                            <w:r>
                              <w:rPr>
                                <w:rFonts w:ascii="Calibri" w:hAnsi="Calibri" w:cs="Calibri"/>
                                <w:b/>
                                <w:bCs/>
                                <w:sz w:val="22"/>
                                <w:szCs w:val="22"/>
                              </w:rPr>
                              <w:t>podotýka</w:t>
                            </w:r>
                            <w:proofErr w:type="spellEnd"/>
                            <w:proofErr w:type="gramEnd"/>
                            <w:r w:rsidRPr="0028530F">
                              <w:rPr>
                                <w:rFonts w:ascii="Calibri" w:hAnsi="Calibri" w:cs="Calibri"/>
                                <w:b/>
                                <w:bCs/>
                                <w:sz w:val="22"/>
                                <w:szCs w:val="22"/>
                              </w:rPr>
                              <w:t xml:space="preserve"> </w:t>
                            </w:r>
                            <w:proofErr w:type="spellStart"/>
                            <w:r>
                              <w:rPr>
                                <w:rFonts w:ascii="Calibri" w:hAnsi="Calibri" w:cs="Calibri"/>
                                <w:b/>
                                <w:bCs/>
                                <w:sz w:val="22"/>
                                <w:szCs w:val="22"/>
                              </w:rPr>
                              <w:t>Xxxx</w:t>
                            </w:r>
                            <w:proofErr w:type="spellEnd"/>
                            <w:r>
                              <w:rPr>
                                <w:rFonts w:ascii="Calibri" w:hAnsi="Calibri" w:cs="Calibri"/>
                                <w:b/>
                                <w:bCs/>
                                <w:sz w:val="22"/>
                                <w:szCs w:val="22"/>
                              </w:rPr>
                              <w:t xml:space="preserve"> </w:t>
                            </w:r>
                            <w:proofErr w:type="spellStart"/>
                            <w:r>
                              <w:rPr>
                                <w:rFonts w:ascii="Calibri" w:hAnsi="Calibri" w:cs="Calibri"/>
                                <w:b/>
                                <w:bCs/>
                                <w:sz w:val="22"/>
                                <w:szCs w:val="22"/>
                              </w:rPr>
                              <w:t>Xxxxx</w:t>
                            </w:r>
                            <w:proofErr w:type="spellEnd"/>
                            <w:r w:rsidRPr="0028530F">
                              <w:rPr>
                                <w:rFonts w:ascii="Calibri" w:hAnsi="Calibri" w:cs="Calibri"/>
                                <w:b/>
                                <w:bCs/>
                                <w:sz w:val="22"/>
                                <w:szCs w:val="22"/>
                              </w:rPr>
                              <w:t xml:space="preserve">, </w:t>
                            </w:r>
                            <w:r>
                              <w:rPr>
                                <w:rFonts w:ascii="Calibri" w:hAnsi="Calibri" w:cs="Calibri"/>
                                <w:b/>
                                <w:bCs/>
                                <w:sz w:val="22"/>
                                <w:szCs w:val="22"/>
                              </w:rPr>
                              <w:t>pozice</w:t>
                            </w:r>
                            <w:r w:rsidRPr="0028530F">
                              <w:rPr>
                                <w:rFonts w:ascii="Calibri" w:hAnsi="Calibri" w:cs="Calibri"/>
                                <w:b/>
                                <w:bCs/>
                                <w:sz w:val="22"/>
                                <w:szCs w:val="22"/>
                              </w:rPr>
                              <w:t xml:space="preserve"> z </w:t>
                            </w:r>
                            <w:r>
                              <w:rPr>
                                <w:rFonts w:ascii="Calibri" w:hAnsi="Calibri" w:cs="Calibri"/>
                                <w:b/>
                                <w:bCs/>
                                <w:sz w:val="22"/>
                                <w:szCs w:val="22"/>
                              </w:rPr>
                              <w:t>Banky</w:t>
                            </w:r>
                            <w:r w:rsidRPr="0028530F">
                              <w:rPr>
                                <w:rFonts w:ascii="Calibri" w:hAnsi="Calibri" w:cs="Calibri"/>
                                <w:b/>
                                <w:bCs/>
                                <w:sz w:val="22"/>
                                <w:szCs w:val="22"/>
                              </w:rPr>
                              <w:t>.</w:t>
                            </w:r>
                          </w:p>
                          <w:p w14:paraId="51E41BE8" w14:textId="6FF3361E" w:rsidR="00A02F5D" w:rsidRPr="00A72DB7" w:rsidRDefault="00A02F5D" w:rsidP="00A02F5D">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BC4C7" id="_x0000_s1027" style="position:absolute;left:0;text-align:left;margin-left:0;margin-top:25.9pt;width:513.35pt;height:91.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" fillcolor="white [3201]" strokecolor="black [3213]" strokeweight=".5pt">
                <v:textbox>
                  <w:txbxContent>
                    <w:p w14:paraId="2E680ABA" w14:textId="76BB184D" w:rsidR="001177C9" w:rsidRPr="00CF7439" w:rsidRDefault="00A02F5D" w:rsidP="001177C9">
                      <w:pPr>
                        <w:rPr>
                          <w:rFonts w:ascii="Calibri" w:hAnsi="Calibri" w:cs="Calibri"/>
                          <w:sz w:val="22"/>
                          <w:szCs w:val="22"/>
                        </w:rPr>
                      </w:pPr>
                      <w:r w:rsidRPr="0028530F">
                        <w:rPr>
                          <w:rFonts w:ascii="Calibri" w:hAnsi="Calibri" w:cs="Calibri"/>
                          <w:i/>
                          <w:iCs/>
                          <w:sz w:val="22"/>
                          <w:szCs w:val="22"/>
                        </w:rPr>
                        <w:t xml:space="preserve"> </w:t>
                      </w:r>
                      <w:r w:rsidR="00641532" w:rsidRPr="0028530F">
                        <w:rPr>
                          <w:rFonts w:ascii="Calibri" w:hAnsi="Calibri" w:cs="Calibri"/>
                          <w:i/>
                          <w:iCs/>
                          <w:sz w:val="22"/>
                          <w:szCs w:val="22"/>
                        </w:rPr>
                        <w:t>„</w:t>
                      </w:r>
                      <w:r w:rsidR="001177C9" w:rsidRPr="001177C9">
                        <w:rPr>
                          <w:rFonts w:ascii="Calibri" w:hAnsi="Calibri" w:cs="Calibri"/>
                          <w:i/>
                          <w:iCs/>
                          <w:sz w:val="22"/>
                          <w:szCs w:val="22"/>
                        </w:rPr>
                        <w:t xml:space="preserve">I když leden tradičně přináší větší sezónní pokles objemu nových hypoték, letos tomu však rozhodně není a vidíme slibný start nového hypotečního roku. Průměrná úroková sazba nepatrně klesla na 4,78 %, zatímco průměrná výše nově poskytnuté hypotéky dále roste. Na základě aktuálních čísel by první čtvrtletí mohlo přinést výrazné oživení trhu, protože lidé začínají intenzivněji řešit otázku vlastního bydlení a mírný pokles sazeb může podpořit jejich rozhodování,“ </w:t>
                      </w:r>
                      <w:r w:rsidR="001177C9" w:rsidRPr="00CF7439">
                        <w:rPr>
                          <w:rFonts w:ascii="Calibri" w:hAnsi="Calibri" w:cs="Calibri"/>
                          <w:sz w:val="22"/>
                          <w:szCs w:val="22"/>
                        </w:rPr>
                        <w:t xml:space="preserve">říká </w:t>
                      </w:r>
                      <w:r w:rsidR="001177C9" w:rsidRPr="00CF7439">
                        <w:rPr>
                          <w:rFonts w:ascii="Calibri" w:hAnsi="Calibri" w:cs="Calibri"/>
                          <w:b/>
                          <w:bCs/>
                          <w:sz w:val="22"/>
                          <w:szCs w:val="22"/>
                        </w:rPr>
                        <w:t>Zdeňka Kovářová, manažerka hypotečních úvěrů a spotřebitelského financování</w:t>
                      </w:r>
                      <w:r w:rsidR="001177C9" w:rsidRPr="00CF7439">
                        <w:rPr>
                          <w:rFonts w:ascii="Calibri" w:hAnsi="Calibri" w:cs="Calibri"/>
                          <w:sz w:val="22"/>
                          <w:szCs w:val="22"/>
                        </w:rPr>
                        <w:t>.</w:t>
                      </w:r>
                    </w:p>
                    <w:p w14:paraId="19D087B7" w14:textId="68703B1D" w:rsidR="00641532" w:rsidRPr="00A72DB7" w:rsidRDefault="00641532" w:rsidP="00641532">
                      <w:pPr>
                        <w:rPr>
                          <w:rFonts w:ascii="Calibri" w:hAnsi="Calibri" w:cs="Calibri"/>
                          <w:b/>
                          <w:bCs/>
                          <w:sz w:val="22"/>
                          <w:szCs w:val="22"/>
                        </w:rPr>
                      </w:pPr>
                      <w:proofErr w:type="spellStart"/>
                      <w:r>
                        <w:rPr>
                          <w:rFonts w:ascii="Calibri" w:hAnsi="Calibri" w:cs="Calibri"/>
                          <w:i/>
                          <w:iCs/>
                          <w:sz w:val="22"/>
                          <w:szCs w:val="22"/>
                        </w:rPr>
                        <w:t>xxxxx</w:t>
                      </w:r>
                      <w:proofErr w:type="spellEnd"/>
                      <w:r w:rsidRPr="0028530F">
                        <w:rPr>
                          <w:rFonts w:ascii="Calibri" w:hAnsi="Calibri" w:cs="Calibri"/>
                          <w:i/>
                          <w:iCs/>
                          <w:sz w:val="22"/>
                          <w:szCs w:val="22"/>
                        </w:rPr>
                        <w:t>,</w:t>
                      </w:r>
                      <w:proofErr w:type="gramStart"/>
                      <w:r w:rsidRPr="0028530F">
                        <w:rPr>
                          <w:rFonts w:ascii="Calibri" w:hAnsi="Calibri" w:cs="Calibri"/>
                          <w:i/>
                          <w:iCs/>
                          <w:sz w:val="22"/>
                          <w:szCs w:val="22"/>
                        </w:rPr>
                        <w:t xml:space="preserve">“ </w:t>
                      </w:r>
                      <w:r>
                        <w:rPr>
                          <w:rFonts w:ascii="Calibri" w:hAnsi="Calibri" w:cs="Calibri"/>
                          <w:b/>
                          <w:bCs/>
                          <w:sz w:val="22"/>
                          <w:szCs w:val="22"/>
                        </w:rPr>
                        <w:t xml:space="preserve"> </w:t>
                      </w:r>
                      <w:proofErr w:type="spellStart"/>
                      <w:r>
                        <w:rPr>
                          <w:rFonts w:ascii="Calibri" w:hAnsi="Calibri" w:cs="Calibri"/>
                          <w:b/>
                          <w:bCs/>
                          <w:sz w:val="22"/>
                          <w:szCs w:val="22"/>
                        </w:rPr>
                        <w:t>podotýka</w:t>
                      </w:r>
                      <w:proofErr w:type="spellEnd"/>
                      <w:proofErr w:type="gramEnd"/>
                      <w:r w:rsidRPr="0028530F">
                        <w:rPr>
                          <w:rFonts w:ascii="Calibri" w:hAnsi="Calibri" w:cs="Calibri"/>
                          <w:b/>
                          <w:bCs/>
                          <w:sz w:val="22"/>
                          <w:szCs w:val="22"/>
                        </w:rPr>
                        <w:t xml:space="preserve"> </w:t>
                      </w:r>
                      <w:proofErr w:type="spellStart"/>
                      <w:r>
                        <w:rPr>
                          <w:rFonts w:ascii="Calibri" w:hAnsi="Calibri" w:cs="Calibri"/>
                          <w:b/>
                          <w:bCs/>
                          <w:sz w:val="22"/>
                          <w:szCs w:val="22"/>
                        </w:rPr>
                        <w:t>Xxxx</w:t>
                      </w:r>
                      <w:proofErr w:type="spellEnd"/>
                      <w:r>
                        <w:rPr>
                          <w:rFonts w:ascii="Calibri" w:hAnsi="Calibri" w:cs="Calibri"/>
                          <w:b/>
                          <w:bCs/>
                          <w:sz w:val="22"/>
                          <w:szCs w:val="22"/>
                        </w:rPr>
                        <w:t xml:space="preserve"> </w:t>
                      </w:r>
                      <w:proofErr w:type="spellStart"/>
                      <w:r>
                        <w:rPr>
                          <w:rFonts w:ascii="Calibri" w:hAnsi="Calibri" w:cs="Calibri"/>
                          <w:b/>
                          <w:bCs/>
                          <w:sz w:val="22"/>
                          <w:szCs w:val="22"/>
                        </w:rPr>
                        <w:t>Xxxxx</w:t>
                      </w:r>
                      <w:proofErr w:type="spellEnd"/>
                      <w:r w:rsidRPr="0028530F">
                        <w:rPr>
                          <w:rFonts w:ascii="Calibri" w:hAnsi="Calibri" w:cs="Calibri"/>
                          <w:b/>
                          <w:bCs/>
                          <w:sz w:val="22"/>
                          <w:szCs w:val="22"/>
                        </w:rPr>
                        <w:t xml:space="preserve">, </w:t>
                      </w:r>
                      <w:r>
                        <w:rPr>
                          <w:rFonts w:ascii="Calibri" w:hAnsi="Calibri" w:cs="Calibri"/>
                          <w:b/>
                          <w:bCs/>
                          <w:sz w:val="22"/>
                          <w:szCs w:val="22"/>
                        </w:rPr>
                        <w:t>pozice</w:t>
                      </w:r>
                      <w:r w:rsidRPr="0028530F">
                        <w:rPr>
                          <w:rFonts w:ascii="Calibri" w:hAnsi="Calibri" w:cs="Calibri"/>
                          <w:b/>
                          <w:bCs/>
                          <w:sz w:val="22"/>
                          <w:szCs w:val="22"/>
                        </w:rPr>
                        <w:t xml:space="preserve"> z </w:t>
                      </w:r>
                      <w:r>
                        <w:rPr>
                          <w:rFonts w:ascii="Calibri" w:hAnsi="Calibri" w:cs="Calibri"/>
                          <w:b/>
                          <w:bCs/>
                          <w:sz w:val="22"/>
                          <w:szCs w:val="22"/>
                        </w:rPr>
                        <w:t>Banky</w:t>
                      </w:r>
                      <w:r w:rsidRPr="0028530F">
                        <w:rPr>
                          <w:rFonts w:ascii="Calibri" w:hAnsi="Calibri" w:cs="Calibri"/>
                          <w:b/>
                          <w:bCs/>
                          <w:sz w:val="22"/>
                          <w:szCs w:val="22"/>
                        </w:rPr>
                        <w:t>.</w:t>
                      </w:r>
                    </w:p>
                    <w:p w14:paraId="51E41BE8" w14:textId="6FF3361E" w:rsidR="00A02F5D" w:rsidRPr="00A72DB7" w:rsidRDefault="00A02F5D" w:rsidP="00A02F5D">
                      <w:pPr>
                        <w:rPr>
                          <w:rFonts w:ascii="Calibri" w:hAnsi="Calibri" w:cs="Calibri"/>
                          <w:b/>
                          <w:bCs/>
                          <w:sz w:val="22"/>
                          <w:szCs w:val="22"/>
                        </w:rPr>
                      </w:pPr>
                    </w:p>
                  </w:txbxContent>
                </v:textbox>
                <w10:wrap type="topAndBottom" anchorx="margin"/>
              </v:rect>
            </w:pict>
          </mc:Fallback>
        </mc:AlternateContent>
      </w:r>
    </w:p>
    <w:p w14:paraId="124D2D31" w14:textId="47B28694" w:rsidR="00F61FFC" w:rsidRDefault="006E04F7" w:rsidP="000B0992">
      <w:pPr>
        <w:spacing w:before="240" w:after="120"/>
        <w:rPr>
          <w:rFonts w:ascii="Calibri" w:hAnsi="Calibri" w:cs="Calibri"/>
          <w:b/>
          <w:color w:val="13576B"/>
          <w:sz w:val="23"/>
          <w:szCs w:val="23"/>
        </w:rPr>
      </w:pPr>
      <w:bookmarkStart w:id="3" w:name="_Hlk111121228"/>
      <w:bookmarkStart w:id="4" w:name="_Hlk119308742"/>
      <w:r w:rsidRPr="003F159E">
        <w:rPr>
          <w:rFonts w:ascii="Calibri" w:hAnsi="Calibri" w:cs="Calibri"/>
          <w:b/>
          <w:color w:val="13576B"/>
          <w:sz w:val="23"/>
          <w:szCs w:val="23"/>
        </w:rPr>
        <w:t>Tabulka č. 1: Shrnutí objemu poskytnutých hypoték a průměrných úrokových sazeb za</w:t>
      </w:r>
      <w:r w:rsidR="003E393C" w:rsidRPr="003F159E">
        <w:rPr>
          <w:rFonts w:ascii="Calibri" w:hAnsi="Calibri" w:cs="Calibri"/>
          <w:b/>
          <w:color w:val="13576B"/>
          <w:sz w:val="23"/>
          <w:szCs w:val="23"/>
        </w:rPr>
        <w:t xml:space="preserve"> </w:t>
      </w:r>
      <w:r w:rsidR="00641532">
        <w:rPr>
          <w:rFonts w:ascii="Calibri" w:hAnsi="Calibri" w:cs="Calibri"/>
          <w:b/>
          <w:color w:val="13576B"/>
          <w:sz w:val="23"/>
          <w:szCs w:val="23"/>
        </w:rPr>
        <w:t>leden</w:t>
      </w:r>
      <w:r w:rsidR="001306A2" w:rsidRPr="003F159E">
        <w:rPr>
          <w:rFonts w:ascii="Calibri" w:hAnsi="Calibri" w:cs="Calibri"/>
          <w:b/>
          <w:color w:val="13576B"/>
          <w:sz w:val="23"/>
          <w:szCs w:val="23"/>
        </w:rPr>
        <w:t xml:space="preserve"> </w:t>
      </w:r>
      <w:r w:rsidRPr="003F159E">
        <w:rPr>
          <w:rFonts w:ascii="Calibri" w:hAnsi="Calibri" w:cs="Calibri"/>
          <w:b/>
          <w:color w:val="13576B"/>
          <w:sz w:val="23"/>
          <w:szCs w:val="23"/>
        </w:rPr>
        <w:t>202</w:t>
      </w:r>
      <w:r w:rsidR="00641532">
        <w:rPr>
          <w:rFonts w:ascii="Calibri" w:hAnsi="Calibri" w:cs="Calibri"/>
          <w:b/>
          <w:color w:val="13576B"/>
          <w:sz w:val="23"/>
          <w:szCs w:val="23"/>
        </w:rPr>
        <w:t>5</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2138C0"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4B78F9C6" w:rsidR="006E04F7" w:rsidRPr="00072DB9" w:rsidRDefault="006E04F7" w:rsidP="00356809">
            <w:pPr>
              <w:overflowPunct/>
              <w:autoSpaceDE/>
              <w:autoSpaceDN/>
              <w:adjustRightInd/>
              <w:jc w:val="left"/>
              <w:textAlignment w:val="auto"/>
              <w:rPr>
                <w:rFonts w:ascii="Calibri" w:hAnsi="Calibri" w:cs="Calibri"/>
                <w:color w:val="000000"/>
                <w:sz w:val="22"/>
                <w:szCs w:val="22"/>
              </w:rPr>
            </w:pPr>
            <w:r w:rsidRPr="00072DB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Objem</w:t>
            </w:r>
            <w:r w:rsidRPr="00072DB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072DB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072DB9">
              <w:rPr>
                <w:rFonts w:ascii="Calibri Light" w:hAnsi="Calibri Light" w:cs="Calibri Light"/>
                <w:b/>
                <w:bCs/>
                <w:color w:val="13576B"/>
                <w:sz w:val="22"/>
                <w:szCs w:val="22"/>
              </w:rPr>
              <w:t>Sazba</w:t>
            </w:r>
            <w:r w:rsidRPr="00072DB9">
              <w:rPr>
                <w:rFonts w:ascii="Calibri Light" w:hAnsi="Calibri Light" w:cs="Calibri Light"/>
                <w:b/>
                <w:bCs/>
                <w:color w:val="13576B"/>
                <w:sz w:val="22"/>
                <w:szCs w:val="22"/>
              </w:rPr>
              <w:br/>
              <w:t xml:space="preserve"> (%)</w:t>
            </w:r>
          </w:p>
        </w:tc>
      </w:tr>
      <w:tr w:rsidR="006E04F7" w:rsidRPr="002138C0"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28BCC108"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072DB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641532" w:rsidRPr="002138C0"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55D0463E" w:rsidR="00641532" w:rsidRPr="00072DB9" w:rsidRDefault="00641532" w:rsidP="00641532">
            <w:pPr>
              <w:overflowPunct/>
              <w:autoSpaceDE/>
              <w:autoSpaceDN/>
              <w:adjustRightInd/>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19F5E633"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22,6</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7CFBEA8F"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5 957</w:t>
            </w:r>
          </w:p>
        </w:tc>
        <w:tc>
          <w:tcPr>
            <w:tcW w:w="960" w:type="dxa"/>
            <w:tcBorders>
              <w:top w:val="nil"/>
              <w:left w:val="nil"/>
              <w:bottom w:val="single" w:sz="4" w:space="0" w:color="auto"/>
              <w:right w:val="nil"/>
            </w:tcBorders>
            <w:shd w:val="clear" w:color="000000" w:fill="FFFFFF"/>
            <w:noWrap/>
            <w:vAlign w:val="center"/>
            <w:hideMark/>
          </w:tcPr>
          <w:p w14:paraId="25688592" w14:textId="45028AAC"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4,77</w:t>
            </w:r>
          </w:p>
        </w:tc>
      </w:tr>
      <w:tr w:rsidR="00641532" w:rsidRPr="002138C0"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641532" w:rsidRPr="00072DB9" w:rsidRDefault="00641532" w:rsidP="0064153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39F54DFD"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18,7</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111664EC"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4 764</w:t>
            </w:r>
          </w:p>
        </w:tc>
        <w:tc>
          <w:tcPr>
            <w:tcW w:w="960" w:type="dxa"/>
            <w:tcBorders>
              <w:top w:val="single" w:sz="4" w:space="0" w:color="auto"/>
              <w:left w:val="nil"/>
              <w:bottom w:val="nil"/>
              <w:right w:val="nil"/>
            </w:tcBorders>
            <w:shd w:val="solid" w:color="DAF3EA" w:fill="C1F7E9"/>
            <w:noWrap/>
            <w:vAlign w:val="center"/>
            <w:hideMark/>
          </w:tcPr>
          <w:p w14:paraId="5B0C0248" w14:textId="2B62C6D6"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4,78</w:t>
            </w:r>
          </w:p>
        </w:tc>
      </w:tr>
      <w:tr w:rsidR="00641532" w:rsidRPr="002138C0"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641532" w:rsidRPr="00072DB9" w:rsidRDefault="00641532" w:rsidP="00641532">
            <w:pPr>
              <w:overflowPunct/>
              <w:autoSpaceDE/>
              <w:autoSpaceDN/>
              <w:adjustRightInd/>
              <w:ind w:firstLineChars="200" w:firstLine="44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58AB01FC"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1FE3F613"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21B59F4C"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641532" w:rsidRPr="002138C0"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4481CAD" w:rsidR="00641532" w:rsidRPr="00072DB9" w:rsidRDefault="00641532" w:rsidP="00641532">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377355EE"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15,3</w:t>
            </w:r>
          </w:p>
        </w:tc>
        <w:tc>
          <w:tcPr>
            <w:tcW w:w="960" w:type="dxa"/>
            <w:tcBorders>
              <w:top w:val="nil"/>
              <w:left w:val="nil"/>
              <w:bottom w:val="nil"/>
              <w:right w:val="single" w:sz="4" w:space="0" w:color="auto"/>
            </w:tcBorders>
            <w:shd w:val="clear" w:color="000000" w:fill="FFFFFF"/>
            <w:noWrap/>
            <w:vAlign w:val="center"/>
            <w:hideMark/>
          </w:tcPr>
          <w:p w14:paraId="1F9B5019" w14:textId="47630661"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3 849</w:t>
            </w:r>
          </w:p>
        </w:tc>
        <w:tc>
          <w:tcPr>
            <w:tcW w:w="960" w:type="dxa"/>
            <w:tcBorders>
              <w:top w:val="nil"/>
              <w:left w:val="nil"/>
              <w:bottom w:val="nil"/>
              <w:right w:val="nil"/>
            </w:tcBorders>
            <w:shd w:val="clear" w:color="000000" w:fill="FFFFFF"/>
            <w:noWrap/>
            <w:vAlign w:val="center"/>
            <w:hideMark/>
          </w:tcPr>
          <w:p w14:paraId="245CA2C7" w14:textId="28FC05C1"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4,77</w:t>
            </w:r>
          </w:p>
        </w:tc>
      </w:tr>
      <w:tr w:rsidR="00641532" w:rsidRPr="002138C0"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02A472AC" w:rsidR="00641532" w:rsidRPr="00072DB9" w:rsidRDefault="00641532" w:rsidP="00641532">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249A46E9"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w:t>
            </w:r>
          </w:p>
        </w:tc>
        <w:tc>
          <w:tcPr>
            <w:tcW w:w="960" w:type="dxa"/>
            <w:tcBorders>
              <w:top w:val="nil"/>
              <w:left w:val="nil"/>
              <w:bottom w:val="nil"/>
              <w:right w:val="single" w:sz="4" w:space="0" w:color="auto"/>
            </w:tcBorders>
            <w:shd w:val="clear" w:color="000000" w:fill="FFFFFF"/>
            <w:noWrap/>
            <w:vAlign w:val="center"/>
            <w:hideMark/>
          </w:tcPr>
          <w:p w14:paraId="2BEC2F1D" w14:textId="6C4FD406"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649</w:t>
            </w:r>
          </w:p>
        </w:tc>
        <w:tc>
          <w:tcPr>
            <w:tcW w:w="960" w:type="dxa"/>
            <w:tcBorders>
              <w:top w:val="nil"/>
              <w:left w:val="nil"/>
              <w:bottom w:val="nil"/>
              <w:right w:val="nil"/>
            </w:tcBorders>
            <w:shd w:val="clear" w:color="000000" w:fill="FFFFFF"/>
            <w:noWrap/>
            <w:vAlign w:val="center"/>
            <w:hideMark/>
          </w:tcPr>
          <w:p w14:paraId="1ED8392A" w14:textId="218C90AB"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4,73</w:t>
            </w:r>
          </w:p>
        </w:tc>
      </w:tr>
      <w:tr w:rsidR="00641532" w:rsidRPr="002138C0"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6B59A630" w:rsidR="00641532" w:rsidRPr="00072DB9" w:rsidRDefault="00641532" w:rsidP="00641532">
            <w:pPr>
              <w:overflowPunct/>
              <w:autoSpaceDE/>
              <w:autoSpaceDN/>
              <w:adjustRightInd/>
              <w:ind w:firstLineChars="300" w:firstLine="660"/>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3A0B6858"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0,8</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66DC2D92"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266</w:t>
            </w:r>
          </w:p>
        </w:tc>
        <w:tc>
          <w:tcPr>
            <w:tcW w:w="960" w:type="dxa"/>
            <w:tcBorders>
              <w:top w:val="nil"/>
              <w:left w:val="nil"/>
              <w:bottom w:val="single" w:sz="4" w:space="0" w:color="auto"/>
              <w:right w:val="nil"/>
            </w:tcBorders>
            <w:shd w:val="clear" w:color="000000" w:fill="FFFFFF"/>
            <w:noWrap/>
            <w:vAlign w:val="center"/>
            <w:hideMark/>
          </w:tcPr>
          <w:p w14:paraId="2CAA1522" w14:textId="01C28D71"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4,99</w:t>
            </w:r>
          </w:p>
        </w:tc>
      </w:tr>
      <w:tr w:rsidR="00641532" w:rsidRPr="002138C0"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641532" w:rsidRPr="00072DB9" w:rsidRDefault="00641532" w:rsidP="0064153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0F049BAA"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3,2</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79611373"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979</w:t>
            </w:r>
          </w:p>
        </w:tc>
        <w:tc>
          <w:tcPr>
            <w:tcW w:w="960" w:type="dxa"/>
            <w:tcBorders>
              <w:top w:val="nil"/>
              <w:left w:val="nil"/>
              <w:bottom w:val="single" w:sz="4" w:space="0" w:color="auto"/>
              <w:right w:val="nil"/>
            </w:tcBorders>
            <w:shd w:val="clear" w:color="000000" w:fill="FFFFFF"/>
            <w:noWrap/>
            <w:vAlign w:val="center"/>
            <w:hideMark/>
          </w:tcPr>
          <w:p w14:paraId="2F210A95" w14:textId="1351F56C"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4,71</w:t>
            </w:r>
          </w:p>
        </w:tc>
      </w:tr>
      <w:tr w:rsidR="00641532" w:rsidRPr="002138C0"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33CDA02" w:rsidR="00641532" w:rsidRPr="00072DB9" w:rsidRDefault="00641532" w:rsidP="0064153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072DB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3721A6A4"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0,7</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02219AEF" w:rsidR="00641532" w:rsidRPr="00072DB9" w:rsidRDefault="00641532" w:rsidP="0064153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214</w:t>
            </w:r>
          </w:p>
        </w:tc>
        <w:tc>
          <w:tcPr>
            <w:tcW w:w="960" w:type="dxa"/>
            <w:tcBorders>
              <w:top w:val="nil"/>
              <w:left w:val="nil"/>
              <w:bottom w:val="single" w:sz="4" w:space="0" w:color="auto"/>
              <w:right w:val="nil"/>
            </w:tcBorders>
            <w:shd w:val="clear" w:color="000000" w:fill="FFFFFF"/>
            <w:noWrap/>
            <w:vAlign w:val="center"/>
            <w:hideMark/>
          </w:tcPr>
          <w:p w14:paraId="473AFF57" w14:textId="0F86E39C" w:rsidR="00641532" w:rsidRPr="00072DB9" w:rsidRDefault="00641532" w:rsidP="0064153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4,80</w:t>
            </w:r>
          </w:p>
        </w:tc>
      </w:tr>
      <w:tr w:rsidR="006E04F7" w:rsidRPr="002138C0"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63A22841" w:rsidR="006E04F7" w:rsidRPr="00072DB9" w:rsidRDefault="006E04F7" w:rsidP="00356809">
            <w:pPr>
              <w:overflowPunct/>
              <w:autoSpaceDE/>
              <w:autoSpaceDN/>
              <w:adjustRightInd/>
              <w:jc w:val="left"/>
              <w:textAlignment w:val="auto"/>
              <w:rPr>
                <w:rFonts w:ascii="Calibri Light" w:hAnsi="Calibri Light" w:cs="Calibri Light"/>
                <w:color w:val="13576B"/>
                <w:sz w:val="20"/>
              </w:rPr>
            </w:pPr>
            <w:r w:rsidRPr="00072DB9">
              <w:rPr>
                <w:rFonts w:ascii="Calibri Light" w:hAnsi="Calibri Light" w:cs="Calibri Light"/>
                <w:color w:val="13576B"/>
                <w:sz w:val="20"/>
              </w:rPr>
              <w:t xml:space="preserve">Pramen: ČBA </w:t>
            </w:r>
            <w:proofErr w:type="spellStart"/>
            <w:r w:rsidRPr="00072DB9">
              <w:rPr>
                <w:rFonts w:ascii="Calibri Light" w:hAnsi="Calibri Light" w:cs="Calibri Light"/>
                <w:color w:val="13576B"/>
                <w:sz w:val="20"/>
              </w:rPr>
              <w:t>Hypomonitor</w:t>
            </w:r>
            <w:proofErr w:type="spellEnd"/>
          </w:p>
        </w:tc>
        <w:tc>
          <w:tcPr>
            <w:tcW w:w="1101" w:type="dxa"/>
            <w:tcBorders>
              <w:top w:val="nil"/>
              <w:left w:val="nil"/>
              <w:bottom w:val="nil"/>
              <w:right w:val="nil"/>
            </w:tcBorders>
            <w:shd w:val="clear" w:color="000000" w:fill="FFFFFF"/>
            <w:noWrap/>
            <w:vAlign w:val="bottom"/>
            <w:hideMark/>
          </w:tcPr>
          <w:p w14:paraId="01E541C2"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072DB9" w:rsidRDefault="006E04F7" w:rsidP="00356809">
            <w:pPr>
              <w:overflowPunct/>
              <w:autoSpaceDE/>
              <w:autoSpaceDN/>
              <w:adjustRightInd/>
              <w:jc w:val="left"/>
              <w:textAlignment w:val="auto"/>
              <w:rPr>
                <w:rFonts w:ascii="Calibri Light" w:hAnsi="Calibri Light" w:cs="Calibri Light"/>
                <w:color w:val="000000"/>
                <w:sz w:val="22"/>
                <w:szCs w:val="22"/>
              </w:rPr>
            </w:pPr>
            <w:r w:rsidRPr="00072DB9">
              <w:rPr>
                <w:rFonts w:ascii="Calibri Light" w:hAnsi="Calibri Light" w:cs="Calibri Light"/>
                <w:color w:val="000000"/>
                <w:sz w:val="22"/>
                <w:szCs w:val="22"/>
              </w:rPr>
              <w:t> </w:t>
            </w:r>
          </w:p>
        </w:tc>
      </w:tr>
    </w:tbl>
    <w:p w14:paraId="7D8871E8" w14:textId="5A42DFFC" w:rsidR="000B0992" w:rsidRPr="002138C0" w:rsidRDefault="000B0992" w:rsidP="00237E0B">
      <w:pPr>
        <w:spacing w:before="120" w:after="120"/>
        <w:rPr>
          <w:rFonts w:ascii="Calibri" w:hAnsi="Calibri" w:cs="Calibri"/>
          <w:b/>
          <w:bCs/>
          <w:sz w:val="22"/>
          <w:szCs w:val="22"/>
          <w:highlight w:val="yellow"/>
        </w:rPr>
      </w:pPr>
    </w:p>
    <w:bookmarkEnd w:id="1"/>
    <w:bookmarkEnd w:id="3"/>
    <w:bookmarkEnd w:id="4"/>
    <w:p w14:paraId="5A1704D2" w14:textId="3A07EEC2" w:rsidR="009A044E" w:rsidRDefault="009A044E" w:rsidP="009A044E">
      <w:pPr>
        <w:rPr>
          <w:rFonts w:ascii="Calibri" w:hAnsi="Calibri" w:cs="Calibri"/>
          <w:b/>
          <w:color w:val="13576B"/>
          <w:sz w:val="23"/>
          <w:szCs w:val="23"/>
        </w:rPr>
      </w:pPr>
      <w:r w:rsidRPr="008B048B">
        <w:rPr>
          <w:rFonts w:ascii="Calibri" w:hAnsi="Calibri" w:cs="Calibri"/>
          <w:b/>
          <w:color w:val="13576B"/>
          <w:sz w:val="23"/>
          <w:szCs w:val="23"/>
        </w:rPr>
        <w:t xml:space="preserve">Průměrná hypoteční sazba </w:t>
      </w:r>
      <w:r w:rsidR="00F625CA" w:rsidRPr="008B048B">
        <w:rPr>
          <w:rFonts w:ascii="Calibri" w:hAnsi="Calibri" w:cs="Calibri"/>
          <w:b/>
          <w:color w:val="13576B"/>
          <w:sz w:val="23"/>
          <w:szCs w:val="23"/>
        </w:rPr>
        <w:t xml:space="preserve">pokračuje v klesajícím trendu </w:t>
      </w:r>
    </w:p>
    <w:p w14:paraId="7D563F22" w14:textId="7750541F" w:rsidR="00A02F5D" w:rsidRDefault="005B4E45" w:rsidP="00F625CA">
      <w:pPr>
        <w:rPr>
          <w:rFonts w:ascii="Calibri" w:hAnsi="Calibri" w:cs="Calibri"/>
          <w:bCs/>
          <w:sz w:val="22"/>
          <w:szCs w:val="22"/>
        </w:rPr>
      </w:pPr>
      <w:r w:rsidRPr="005B4E45">
        <w:rPr>
          <w:rFonts w:ascii="Calibri" w:hAnsi="Calibri" w:cs="Calibri"/>
          <w:b/>
          <w:sz w:val="22"/>
          <w:szCs w:val="22"/>
        </w:rPr>
        <w:t xml:space="preserve">Průměrná sazba u nových hypoték nepatrně dále poklesla na 4,78 % z prosincových 4,8 %. </w:t>
      </w:r>
      <w:r w:rsidRPr="005B4E45">
        <w:rPr>
          <w:rFonts w:ascii="Calibri" w:hAnsi="Calibri" w:cs="Calibri"/>
          <w:bCs/>
          <w:sz w:val="22"/>
          <w:szCs w:val="22"/>
        </w:rPr>
        <w:t xml:space="preserve">Její </w:t>
      </w:r>
      <w:r w:rsidR="00935AC3">
        <w:rPr>
          <w:rFonts w:ascii="Calibri" w:hAnsi="Calibri" w:cs="Calibri"/>
          <w:bCs/>
          <w:sz w:val="22"/>
          <w:szCs w:val="22"/>
        </w:rPr>
        <w:t>snížení</w:t>
      </w:r>
      <w:r w:rsidR="00935AC3" w:rsidRPr="005B4E45">
        <w:rPr>
          <w:rFonts w:ascii="Calibri" w:hAnsi="Calibri" w:cs="Calibri"/>
          <w:bCs/>
          <w:sz w:val="22"/>
          <w:szCs w:val="22"/>
        </w:rPr>
        <w:t xml:space="preserve"> </w:t>
      </w:r>
      <w:r w:rsidRPr="005B4E45">
        <w:rPr>
          <w:rFonts w:ascii="Calibri" w:hAnsi="Calibri" w:cs="Calibri"/>
          <w:bCs/>
          <w:sz w:val="22"/>
          <w:szCs w:val="22"/>
        </w:rPr>
        <w:t xml:space="preserve">tak potvrzuje klesající trend pod 5 % naposledy zaznamenaných v červenci 2024. Její lednová úroveň je tak o </w:t>
      </w:r>
      <w:proofErr w:type="gramStart"/>
      <w:r w:rsidRPr="005B4E45">
        <w:rPr>
          <w:rFonts w:ascii="Calibri" w:hAnsi="Calibri" w:cs="Calibri"/>
          <w:bCs/>
          <w:sz w:val="22"/>
          <w:szCs w:val="22"/>
        </w:rPr>
        <w:t>0,74%</w:t>
      </w:r>
      <w:proofErr w:type="gramEnd"/>
      <w:r w:rsidRPr="005B4E45">
        <w:rPr>
          <w:rFonts w:ascii="Calibri" w:hAnsi="Calibri" w:cs="Calibri"/>
          <w:bCs/>
          <w:sz w:val="22"/>
          <w:szCs w:val="22"/>
        </w:rPr>
        <w:t xml:space="preserve"> bodu níže než 5,54% sazba před rokem, což snižuje měsíční splátky hypotéky přibližně o </w:t>
      </w:r>
      <w:r w:rsidR="007323B9">
        <w:rPr>
          <w:rFonts w:ascii="Calibri" w:hAnsi="Calibri" w:cs="Calibri"/>
          <w:bCs/>
          <w:sz w:val="22"/>
          <w:szCs w:val="22"/>
        </w:rPr>
        <w:t>2</w:t>
      </w:r>
      <w:r w:rsidRPr="005B4E45">
        <w:rPr>
          <w:rFonts w:ascii="Calibri" w:hAnsi="Calibri" w:cs="Calibri"/>
          <w:bCs/>
          <w:sz w:val="22"/>
          <w:szCs w:val="22"/>
        </w:rPr>
        <w:t xml:space="preserve"> % čistého příjmu žadatele. Pro srovnání průměrná hodnota hypoteční sazby v roce 2024 dosáhla 5,07 % v porovnání se sazbou 5,81 % v roce 2023.</w:t>
      </w:r>
    </w:p>
    <w:p w14:paraId="270B6825" w14:textId="54DACF7F" w:rsidR="00251393" w:rsidRPr="002138C0" w:rsidRDefault="00251393" w:rsidP="007826E0">
      <w:pPr>
        <w:rPr>
          <w:rFonts w:ascii="Calibri" w:hAnsi="Calibri" w:cs="Calibri"/>
          <w:sz w:val="22"/>
          <w:szCs w:val="22"/>
          <w:highlight w:val="yellow"/>
        </w:rPr>
      </w:pPr>
    </w:p>
    <w:p w14:paraId="6492840A" w14:textId="02F97018" w:rsidR="005874B8" w:rsidRDefault="005874B8" w:rsidP="005874B8">
      <w:pPr>
        <w:spacing w:after="120"/>
        <w:rPr>
          <w:rFonts w:ascii="Calibri" w:hAnsi="Calibri" w:cs="Calibri"/>
          <w:b/>
          <w:color w:val="13576B"/>
          <w:sz w:val="23"/>
          <w:szCs w:val="23"/>
        </w:rPr>
      </w:pPr>
      <w:r w:rsidRPr="005B4653">
        <w:rPr>
          <w:rFonts w:ascii="Calibri" w:hAnsi="Calibri" w:cs="Calibri"/>
          <w:b/>
          <w:color w:val="13576B"/>
          <w:sz w:val="23"/>
          <w:szCs w:val="23"/>
        </w:rPr>
        <w:t>Graf č. 1: Průměrná hypoteční sazba – nové obchody</w:t>
      </w:r>
    </w:p>
    <w:p w14:paraId="63E0611A" w14:textId="0BDCFC3B" w:rsidR="005874B8" w:rsidRPr="002138C0" w:rsidRDefault="00641532" w:rsidP="005874B8">
      <w:pPr>
        <w:rPr>
          <w:rFonts w:ascii="Calibri" w:hAnsi="Calibri" w:cs="Calibri"/>
          <w:sz w:val="22"/>
          <w:szCs w:val="22"/>
          <w:highlight w:val="yellow"/>
        </w:rPr>
      </w:pPr>
      <w:r w:rsidRPr="00641532">
        <w:rPr>
          <w:noProof/>
        </w:rPr>
        <w:drawing>
          <wp:inline distT="0" distB="0" distL="0" distR="0" wp14:anchorId="37C50FF1" wp14:editId="398B1C69">
            <wp:extent cx="4277801" cy="2253980"/>
            <wp:effectExtent l="0" t="0" r="8890" b="0"/>
            <wp:docPr id="1561022274"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2274" name="Picture 1" descr="A graph with numbers and lines&#10;&#10;AI-generated content may be incorrect."/>
                    <pic:cNvPicPr/>
                  </pic:nvPicPr>
                  <pic:blipFill>
                    <a:blip r:embed="rId11"/>
                    <a:stretch>
                      <a:fillRect/>
                    </a:stretch>
                  </pic:blipFill>
                  <pic:spPr>
                    <a:xfrm>
                      <a:off x="0" y="0"/>
                      <a:ext cx="4326797" cy="2279796"/>
                    </a:xfrm>
                    <a:prstGeom prst="rect">
                      <a:avLst/>
                    </a:prstGeom>
                  </pic:spPr>
                </pic:pic>
              </a:graphicData>
            </a:graphic>
          </wp:inline>
        </w:drawing>
      </w:r>
    </w:p>
    <w:p w14:paraId="62D5F729" w14:textId="731F9940" w:rsidR="00691287" w:rsidRPr="00616069" w:rsidRDefault="00691287" w:rsidP="00691287">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sidR="006F74BF">
        <w:rPr>
          <w:rFonts w:ascii="Calibri Light" w:hAnsi="Calibri Light" w:cs="Calibri Light"/>
          <w:color w:val="13576B"/>
          <w:sz w:val="20"/>
        </w:rPr>
        <w:t xml:space="preserve">ČNB, </w:t>
      </w:r>
      <w:r w:rsidRPr="002F4CBD">
        <w:rPr>
          <w:rFonts w:ascii="Calibri Light" w:hAnsi="Calibri Light" w:cs="Calibri Light"/>
          <w:color w:val="13576B"/>
          <w:sz w:val="20"/>
        </w:rPr>
        <w:t xml:space="preserve">ČBA </w:t>
      </w:r>
      <w:proofErr w:type="spellStart"/>
      <w:r w:rsidRPr="002F4CBD">
        <w:rPr>
          <w:rFonts w:ascii="Calibri Light" w:hAnsi="Calibri Light" w:cs="Calibri Light"/>
          <w:color w:val="13576B"/>
          <w:sz w:val="20"/>
        </w:rPr>
        <w:t>Hypomonitor</w:t>
      </w:r>
      <w:proofErr w:type="spellEnd"/>
    </w:p>
    <w:p w14:paraId="31FA0ABF" w14:textId="16678DAD" w:rsidR="005874B8" w:rsidRDefault="005874B8" w:rsidP="005874B8">
      <w:pPr>
        <w:rPr>
          <w:rFonts w:ascii="Calibri" w:hAnsi="Calibri" w:cs="Calibri"/>
          <w:sz w:val="22"/>
          <w:szCs w:val="22"/>
          <w:highlight w:val="yellow"/>
        </w:rPr>
      </w:pPr>
    </w:p>
    <w:p w14:paraId="6FDE04AB" w14:textId="77777777" w:rsidR="00691287" w:rsidRPr="00A02F5D" w:rsidRDefault="00691287" w:rsidP="005874B8">
      <w:pPr>
        <w:rPr>
          <w:rFonts w:ascii="Calibri" w:hAnsi="Calibri" w:cs="Calibri"/>
          <w:sz w:val="22"/>
          <w:szCs w:val="22"/>
        </w:rPr>
      </w:pPr>
    </w:p>
    <w:p w14:paraId="33142E7F" w14:textId="518CBB06" w:rsidR="00C21D7D" w:rsidRDefault="00D47CB0" w:rsidP="005578C6">
      <w:pPr>
        <w:rPr>
          <w:rFonts w:ascii="Calibri" w:hAnsi="Calibri" w:cs="Calibri"/>
          <w:color w:val="000000" w:themeColor="text1"/>
          <w:sz w:val="22"/>
          <w:szCs w:val="22"/>
        </w:rPr>
      </w:pPr>
      <w:bookmarkStart w:id="5" w:name="_Hlk137652102"/>
      <w:r w:rsidRPr="00C21D7D">
        <w:rPr>
          <w:rFonts w:ascii="Calibri" w:hAnsi="Calibri" w:cs="Calibri"/>
          <w:b/>
          <w:bCs/>
          <w:color w:val="000000" w:themeColor="text1"/>
          <w:sz w:val="22"/>
          <w:szCs w:val="22"/>
        </w:rPr>
        <w:t>Ačkoliv Česká národní banka v únoru obnovila pokles úrokových sazeb</w:t>
      </w:r>
      <w:r w:rsidR="000F426C" w:rsidRPr="00C21D7D">
        <w:rPr>
          <w:rFonts w:ascii="Calibri" w:hAnsi="Calibri" w:cs="Calibri"/>
          <w:b/>
          <w:bCs/>
          <w:color w:val="000000" w:themeColor="text1"/>
          <w:sz w:val="22"/>
          <w:szCs w:val="22"/>
        </w:rPr>
        <w:t xml:space="preserve"> jejím snížením na 3,75 %</w:t>
      </w:r>
      <w:r w:rsidRPr="00C21D7D">
        <w:rPr>
          <w:rFonts w:ascii="Calibri" w:hAnsi="Calibri" w:cs="Calibri"/>
          <w:b/>
          <w:bCs/>
          <w:color w:val="000000" w:themeColor="text1"/>
          <w:sz w:val="22"/>
          <w:szCs w:val="22"/>
        </w:rPr>
        <w:t>, tak tržní sazby s delší splatností jsou v průměru ve stejném rozmezí od podzimu minulého roku</w:t>
      </w:r>
      <w:r w:rsidR="005578C6" w:rsidRPr="00C21D7D">
        <w:rPr>
          <w:rFonts w:ascii="Calibri" w:hAnsi="Calibri" w:cs="Calibri"/>
          <w:b/>
          <w:bCs/>
          <w:color w:val="000000" w:themeColor="text1"/>
          <w:sz w:val="22"/>
          <w:szCs w:val="22"/>
        </w:rPr>
        <w:t>.</w:t>
      </w:r>
      <w:r w:rsidR="005578C6" w:rsidRPr="00C21D7D">
        <w:rPr>
          <w:rFonts w:ascii="Calibri" w:hAnsi="Calibri" w:cs="Calibri"/>
          <w:color w:val="000000" w:themeColor="text1"/>
          <w:sz w:val="22"/>
          <w:szCs w:val="22"/>
        </w:rPr>
        <w:t xml:space="preserve"> Promítá se do nich řada faktorů, nejen vývoj úrokové sazby ČNB, ale i kombinace výhledu na inflaci, ekonomiku a dynamiky měnového kurzu. V současnosti například trh po </w:t>
      </w:r>
      <w:r w:rsidR="000F426C" w:rsidRPr="00C21D7D">
        <w:rPr>
          <w:rFonts w:ascii="Calibri" w:hAnsi="Calibri" w:cs="Calibri"/>
          <w:color w:val="000000" w:themeColor="text1"/>
          <w:sz w:val="22"/>
          <w:szCs w:val="22"/>
        </w:rPr>
        <w:t>stále silném lednovém růst</w:t>
      </w:r>
      <w:r w:rsidR="00935AC3">
        <w:rPr>
          <w:rFonts w:ascii="Calibri" w:hAnsi="Calibri" w:cs="Calibri"/>
          <w:color w:val="000000" w:themeColor="text1"/>
          <w:sz w:val="22"/>
          <w:szCs w:val="22"/>
        </w:rPr>
        <w:t>u</w:t>
      </w:r>
      <w:r w:rsidR="000F426C" w:rsidRPr="00C21D7D">
        <w:rPr>
          <w:rFonts w:ascii="Calibri" w:hAnsi="Calibri" w:cs="Calibri"/>
          <w:color w:val="000000" w:themeColor="text1"/>
          <w:sz w:val="22"/>
          <w:szCs w:val="22"/>
        </w:rPr>
        <w:t xml:space="preserve"> </w:t>
      </w:r>
      <w:r w:rsidR="005578C6" w:rsidRPr="00C21D7D">
        <w:rPr>
          <w:rFonts w:ascii="Calibri" w:hAnsi="Calibri" w:cs="Calibri"/>
          <w:color w:val="000000" w:themeColor="text1"/>
          <w:sz w:val="22"/>
          <w:szCs w:val="22"/>
        </w:rPr>
        <w:t xml:space="preserve">indexu českých spotřebitelských cen signalizuje </w:t>
      </w:r>
      <w:r w:rsidR="000F426C" w:rsidRPr="00C21D7D">
        <w:rPr>
          <w:rFonts w:ascii="Calibri" w:hAnsi="Calibri" w:cs="Calibri"/>
          <w:color w:val="000000" w:themeColor="text1"/>
          <w:sz w:val="22"/>
          <w:szCs w:val="22"/>
        </w:rPr>
        <w:t>necel</w:t>
      </w:r>
      <w:r w:rsidR="00935AC3">
        <w:rPr>
          <w:rFonts w:ascii="Calibri" w:hAnsi="Calibri" w:cs="Calibri"/>
          <w:color w:val="000000" w:themeColor="text1"/>
          <w:sz w:val="22"/>
          <w:szCs w:val="22"/>
        </w:rPr>
        <w:t>é</w:t>
      </w:r>
      <w:r w:rsidR="000F426C" w:rsidRPr="00C21D7D">
        <w:rPr>
          <w:rFonts w:ascii="Calibri" w:hAnsi="Calibri" w:cs="Calibri"/>
          <w:color w:val="000000" w:themeColor="text1"/>
          <w:sz w:val="22"/>
          <w:szCs w:val="22"/>
        </w:rPr>
        <w:t xml:space="preserve"> dvoje snížení </w:t>
      </w:r>
      <w:r w:rsidR="005578C6" w:rsidRPr="00C21D7D">
        <w:rPr>
          <w:rFonts w:ascii="Calibri" w:hAnsi="Calibri" w:cs="Calibri"/>
          <w:color w:val="000000" w:themeColor="text1"/>
          <w:sz w:val="22"/>
          <w:szCs w:val="22"/>
        </w:rPr>
        <w:t xml:space="preserve">úrokové sazby ČNB </w:t>
      </w:r>
      <w:r w:rsidR="000F426C" w:rsidRPr="00C21D7D">
        <w:rPr>
          <w:rFonts w:ascii="Calibri" w:hAnsi="Calibri" w:cs="Calibri"/>
          <w:color w:val="000000" w:themeColor="text1"/>
          <w:sz w:val="22"/>
          <w:szCs w:val="22"/>
        </w:rPr>
        <w:t xml:space="preserve">po čtvrt procentního bodu </w:t>
      </w:r>
      <w:r w:rsidR="005578C6" w:rsidRPr="00C21D7D">
        <w:rPr>
          <w:rFonts w:ascii="Calibri" w:hAnsi="Calibri" w:cs="Calibri"/>
          <w:color w:val="000000" w:themeColor="text1"/>
          <w:sz w:val="22"/>
          <w:szCs w:val="22"/>
        </w:rPr>
        <w:t>během roku 2025</w:t>
      </w:r>
      <w:r w:rsidR="000F426C" w:rsidRPr="00C21D7D">
        <w:rPr>
          <w:rFonts w:ascii="Calibri" w:hAnsi="Calibri" w:cs="Calibri"/>
          <w:color w:val="000000" w:themeColor="text1"/>
          <w:sz w:val="22"/>
          <w:szCs w:val="22"/>
        </w:rPr>
        <w:t xml:space="preserve"> (tedy přibližně k 3,4 %)</w:t>
      </w:r>
      <w:r w:rsidR="005578C6" w:rsidRPr="00C21D7D">
        <w:rPr>
          <w:rFonts w:ascii="Calibri" w:hAnsi="Calibri" w:cs="Calibri"/>
          <w:color w:val="000000" w:themeColor="text1"/>
          <w:sz w:val="22"/>
          <w:szCs w:val="22"/>
        </w:rPr>
        <w:t>. To</w:t>
      </w:r>
      <w:r w:rsidR="000F426C" w:rsidRPr="00C21D7D">
        <w:rPr>
          <w:rFonts w:ascii="Calibri" w:hAnsi="Calibri" w:cs="Calibri"/>
          <w:color w:val="000000" w:themeColor="text1"/>
          <w:sz w:val="22"/>
          <w:szCs w:val="22"/>
        </w:rPr>
        <w:t xml:space="preserve">to signalizované snížení je ovšem </w:t>
      </w:r>
      <w:r w:rsidR="005578C6" w:rsidRPr="00C21D7D">
        <w:rPr>
          <w:rFonts w:ascii="Calibri" w:hAnsi="Calibri" w:cs="Calibri"/>
          <w:color w:val="000000" w:themeColor="text1"/>
          <w:sz w:val="22"/>
          <w:szCs w:val="22"/>
        </w:rPr>
        <w:t xml:space="preserve">o </w:t>
      </w:r>
      <w:r w:rsidR="000F426C" w:rsidRPr="00C21D7D">
        <w:rPr>
          <w:rFonts w:ascii="Calibri" w:hAnsi="Calibri" w:cs="Calibri"/>
          <w:color w:val="000000" w:themeColor="text1"/>
          <w:sz w:val="22"/>
          <w:szCs w:val="22"/>
        </w:rPr>
        <w:t>více</w:t>
      </w:r>
      <w:r w:rsidR="00935AC3">
        <w:rPr>
          <w:rFonts w:ascii="Calibri" w:hAnsi="Calibri" w:cs="Calibri"/>
          <w:color w:val="000000" w:themeColor="text1"/>
          <w:sz w:val="22"/>
          <w:szCs w:val="22"/>
        </w:rPr>
        <w:t xml:space="preserve"> než</w:t>
      </w:r>
      <w:r w:rsidR="000F426C" w:rsidRPr="00C21D7D">
        <w:rPr>
          <w:rFonts w:ascii="Calibri" w:hAnsi="Calibri" w:cs="Calibri"/>
          <w:color w:val="000000" w:themeColor="text1"/>
          <w:sz w:val="22"/>
          <w:szCs w:val="22"/>
        </w:rPr>
        <w:t xml:space="preserve"> </w:t>
      </w:r>
      <w:r w:rsidR="005578C6" w:rsidRPr="00C21D7D">
        <w:rPr>
          <w:rFonts w:ascii="Calibri" w:hAnsi="Calibri" w:cs="Calibri"/>
          <w:color w:val="000000" w:themeColor="text1"/>
          <w:sz w:val="22"/>
          <w:szCs w:val="22"/>
        </w:rPr>
        <w:t>půl procentní</w:t>
      </w:r>
      <w:r w:rsidR="00935AC3">
        <w:rPr>
          <w:rFonts w:ascii="Calibri" w:hAnsi="Calibri" w:cs="Calibri"/>
          <w:color w:val="000000" w:themeColor="text1"/>
          <w:sz w:val="22"/>
          <w:szCs w:val="22"/>
        </w:rPr>
        <w:t>ho</w:t>
      </w:r>
      <w:r w:rsidR="005578C6" w:rsidRPr="00C21D7D">
        <w:rPr>
          <w:rFonts w:ascii="Calibri" w:hAnsi="Calibri" w:cs="Calibri"/>
          <w:color w:val="000000" w:themeColor="text1"/>
          <w:sz w:val="22"/>
          <w:szCs w:val="22"/>
        </w:rPr>
        <w:t xml:space="preserve"> bodu </w:t>
      </w:r>
      <w:r w:rsidR="000F426C" w:rsidRPr="00C21D7D">
        <w:rPr>
          <w:rFonts w:ascii="Calibri" w:hAnsi="Calibri" w:cs="Calibri"/>
          <w:color w:val="000000" w:themeColor="text1"/>
          <w:sz w:val="22"/>
          <w:szCs w:val="22"/>
        </w:rPr>
        <w:t>mírnější</w:t>
      </w:r>
      <w:r w:rsidR="005578C6" w:rsidRPr="00C21D7D">
        <w:rPr>
          <w:rFonts w:ascii="Calibri" w:hAnsi="Calibri" w:cs="Calibri"/>
          <w:color w:val="000000" w:themeColor="text1"/>
          <w:sz w:val="22"/>
          <w:szCs w:val="22"/>
        </w:rPr>
        <w:t>, než předjímal v</w:t>
      </w:r>
      <w:r w:rsidR="000F426C" w:rsidRPr="00C21D7D">
        <w:rPr>
          <w:rFonts w:ascii="Calibri" w:hAnsi="Calibri" w:cs="Calibri"/>
          <w:color w:val="000000" w:themeColor="text1"/>
          <w:sz w:val="22"/>
          <w:szCs w:val="22"/>
        </w:rPr>
        <w:t> </w:t>
      </w:r>
      <w:r w:rsidR="005578C6" w:rsidRPr="00C21D7D">
        <w:rPr>
          <w:rFonts w:ascii="Calibri" w:hAnsi="Calibri" w:cs="Calibri"/>
          <w:color w:val="000000" w:themeColor="text1"/>
          <w:sz w:val="22"/>
          <w:szCs w:val="22"/>
        </w:rPr>
        <w:t>září</w:t>
      </w:r>
      <w:r w:rsidR="000F426C" w:rsidRPr="00C21D7D">
        <w:rPr>
          <w:rFonts w:ascii="Calibri" w:hAnsi="Calibri" w:cs="Calibri"/>
          <w:color w:val="000000" w:themeColor="text1"/>
          <w:sz w:val="22"/>
          <w:szCs w:val="22"/>
        </w:rPr>
        <w:t xml:space="preserve"> loňského roku</w:t>
      </w:r>
      <w:r w:rsidR="005578C6" w:rsidRPr="00C21D7D">
        <w:rPr>
          <w:rFonts w:ascii="Calibri" w:hAnsi="Calibri" w:cs="Calibri"/>
          <w:color w:val="000000" w:themeColor="text1"/>
          <w:sz w:val="22"/>
          <w:szCs w:val="22"/>
        </w:rPr>
        <w:t>. A to kvůli silnějšímu růstu spotřebitelské inflace, než se očekávalo v polovině minulého roku, či silnějšímu růstu mezd v</w:t>
      </w:r>
      <w:r w:rsidR="000F426C" w:rsidRPr="00C21D7D">
        <w:rPr>
          <w:rFonts w:ascii="Calibri" w:hAnsi="Calibri" w:cs="Calibri"/>
          <w:color w:val="000000" w:themeColor="text1"/>
          <w:sz w:val="22"/>
          <w:szCs w:val="22"/>
        </w:rPr>
        <w:t> </w:t>
      </w:r>
      <w:r w:rsidR="005578C6" w:rsidRPr="00C21D7D">
        <w:rPr>
          <w:rFonts w:ascii="Calibri" w:hAnsi="Calibri" w:cs="Calibri"/>
          <w:color w:val="000000" w:themeColor="text1"/>
          <w:sz w:val="22"/>
          <w:szCs w:val="22"/>
        </w:rPr>
        <w:t>ekonomice</w:t>
      </w:r>
      <w:r w:rsidR="000F426C" w:rsidRPr="00C21D7D">
        <w:rPr>
          <w:rFonts w:ascii="Calibri" w:hAnsi="Calibri" w:cs="Calibri"/>
          <w:color w:val="000000" w:themeColor="text1"/>
          <w:sz w:val="22"/>
          <w:szCs w:val="22"/>
        </w:rPr>
        <w:t xml:space="preserve">. A to v ekonomice, u které se stále očekává oživení v letošním roce při stále spíše napjatém než uvolněném trhu práce. </w:t>
      </w:r>
    </w:p>
    <w:p w14:paraId="033D6C08" w14:textId="77777777" w:rsidR="00C21D7D" w:rsidRDefault="00C21D7D" w:rsidP="005578C6">
      <w:pPr>
        <w:rPr>
          <w:rFonts w:ascii="Calibri" w:hAnsi="Calibri" w:cs="Calibri"/>
          <w:color w:val="000000" w:themeColor="text1"/>
          <w:sz w:val="22"/>
          <w:szCs w:val="22"/>
        </w:rPr>
      </w:pPr>
    </w:p>
    <w:p w14:paraId="12ECB61C" w14:textId="61ECD152" w:rsidR="005578C6" w:rsidRPr="00C21D7D" w:rsidRDefault="00C21D7D" w:rsidP="005578C6">
      <w:pPr>
        <w:rPr>
          <w:rFonts w:ascii="Calibri" w:hAnsi="Calibri" w:cs="Calibri"/>
          <w:color w:val="000000" w:themeColor="text1"/>
          <w:sz w:val="22"/>
          <w:szCs w:val="22"/>
        </w:rPr>
      </w:pPr>
      <w:r w:rsidRPr="00C21D7D">
        <w:rPr>
          <w:rFonts w:ascii="Calibri" w:hAnsi="Calibri" w:cs="Calibri"/>
          <w:b/>
          <w:bCs/>
          <w:color w:val="000000" w:themeColor="text1"/>
          <w:sz w:val="22"/>
          <w:szCs w:val="22"/>
        </w:rPr>
        <w:t>Pokud počítáme se scénářem mírného oživení ekonomiky, tak pro pokles dlouhodobých tržních sazeb jsou nutné strukturální reformy, které uleví inflačním tlakům v ekonomice z nabídkové strany</w:t>
      </w:r>
      <w:r>
        <w:rPr>
          <w:rFonts w:ascii="Calibri" w:hAnsi="Calibri" w:cs="Calibri"/>
          <w:b/>
          <w:bCs/>
          <w:color w:val="000000" w:themeColor="text1"/>
          <w:sz w:val="22"/>
          <w:szCs w:val="22"/>
        </w:rPr>
        <w:t xml:space="preserve">. Ty </w:t>
      </w:r>
      <w:r w:rsidRPr="00C21D7D">
        <w:rPr>
          <w:rFonts w:ascii="Calibri" w:hAnsi="Calibri" w:cs="Calibri"/>
          <w:b/>
          <w:bCs/>
          <w:color w:val="000000" w:themeColor="text1"/>
          <w:sz w:val="22"/>
          <w:szCs w:val="22"/>
        </w:rPr>
        <w:t>by navrátily diskusi o hypotetické úrovni neutrální úrokové sazby centrální banky zpět ke 3</w:t>
      </w:r>
      <w:r w:rsidR="001E4370">
        <w:rPr>
          <w:rFonts w:ascii="Calibri" w:hAnsi="Calibri" w:cs="Calibri"/>
          <w:b/>
          <w:bCs/>
          <w:color w:val="000000" w:themeColor="text1"/>
          <w:sz w:val="22"/>
          <w:szCs w:val="22"/>
        </w:rPr>
        <w:t xml:space="preserve"> </w:t>
      </w:r>
      <w:r w:rsidRPr="00C21D7D">
        <w:rPr>
          <w:rFonts w:ascii="Calibri" w:hAnsi="Calibri" w:cs="Calibri"/>
          <w:b/>
          <w:bCs/>
          <w:color w:val="000000" w:themeColor="text1"/>
          <w:sz w:val="22"/>
          <w:szCs w:val="22"/>
        </w:rPr>
        <w:t xml:space="preserve">% ze současné diskutované výše 3,5 %. </w:t>
      </w:r>
    </w:p>
    <w:p w14:paraId="26DDDBD2" w14:textId="3B272C28" w:rsidR="005578C6" w:rsidRPr="00C21D7D" w:rsidRDefault="005578C6" w:rsidP="005578C6">
      <w:pPr>
        <w:rPr>
          <w:rFonts w:ascii="Calibri" w:hAnsi="Calibri" w:cs="Calibri"/>
          <w:b/>
          <w:bCs/>
          <w:color w:val="000000" w:themeColor="text1"/>
          <w:sz w:val="22"/>
          <w:szCs w:val="22"/>
        </w:rPr>
      </w:pPr>
      <w:r w:rsidRPr="00C21D7D">
        <w:rPr>
          <w:rFonts w:ascii="Calibri" w:hAnsi="Calibri" w:cs="Calibri"/>
          <w:color w:val="000000" w:themeColor="text1"/>
          <w:sz w:val="22"/>
          <w:szCs w:val="22"/>
        </w:rPr>
        <w:t>Zároveň do této dynamiky vstupuje i vývoj obdobných úrokových sazeb v zahraničí. Zmíněné tržní úrokové sazby delších splatností</w:t>
      </w:r>
      <w:r w:rsidRPr="00C21D7D">
        <w:rPr>
          <w:rStyle w:val="Znakapoznpodarou"/>
          <w:rFonts w:ascii="Calibri" w:hAnsi="Calibri" w:cs="Calibri"/>
          <w:i/>
          <w:iCs/>
          <w:color w:val="000000" w:themeColor="text1"/>
          <w:sz w:val="22"/>
          <w:szCs w:val="22"/>
        </w:rPr>
        <w:footnoteReference w:id="1"/>
      </w:r>
      <w:r w:rsidRPr="00C21D7D">
        <w:rPr>
          <w:rFonts w:ascii="Calibri" w:hAnsi="Calibri" w:cs="Calibri"/>
          <w:color w:val="000000" w:themeColor="text1"/>
          <w:sz w:val="22"/>
          <w:szCs w:val="22"/>
        </w:rPr>
        <w:t xml:space="preserve"> jsou v posledním období rozkolísané a reagují do velké míry na očekávání trhů spojené s vývojem sazeb v USA. </w:t>
      </w:r>
      <w:r w:rsidR="00C21D7D" w:rsidRPr="00C21D7D">
        <w:rPr>
          <w:rFonts w:ascii="Calibri" w:hAnsi="Calibri" w:cs="Calibri"/>
          <w:color w:val="000000" w:themeColor="text1"/>
          <w:sz w:val="22"/>
          <w:szCs w:val="22"/>
        </w:rPr>
        <w:t>Č</w:t>
      </w:r>
      <w:r w:rsidRPr="00C21D7D">
        <w:rPr>
          <w:rFonts w:ascii="Calibri" w:hAnsi="Calibri" w:cs="Calibri"/>
          <w:color w:val="000000" w:themeColor="text1"/>
          <w:sz w:val="22"/>
          <w:szCs w:val="22"/>
        </w:rPr>
        <w:t>eská pětiletá sazba se nyní pohybuje přibližně okolo 3,</w:t>
      </w:r>
      <w:r w:rsidR="00C21D7D" w:rsidRPr="00C21D7D">
        <w:rPr>
          <w:rFonts w:ascii="Calibri" w:hAnsi="Calibri" w:cs="Calibri"/>
          <w:color w:val="000000" w:themeColor="text1"/>
          <w:sz w:val="22"/>
          <w:szCs w:val="22"/>
        </w:rPr>
        <w:t>5</w:t>
      </w:r>
      <w:r w:rsidRPr="00C21D7D">
        <w:rPr>
          <w:rFonts w:ascii="Calibri" w:hAnsi="Calibri" w:cs="Calibri"/>
          <w:color w:val="000000" w:themeColor="text1"/>
          <w:sz w:val="22"/>
          <w:szCs w:val="22"/>
        </w:rPr>
        <w:t xml:space="preserve"> %, tedy asi o 0,</w:t>
      </w:r>
      <w:r w:rsidR="00C21D7D" w:rsidRPr="00C21D7D">
        <w:rPr>
          <w:rFonts w:ascii="Calibri" w:hAnsi="Calibri" w:cs="Calibri"/>
          <w:color w:val="000000" w:themeColor="text1"/>
          <w:sz w:val="22"/>
          <w:szCs w:val="22"/>
        </w:rPr>
        <w:t>4</w:t>
      </w:r>
      <w:r w:rsidR="00D55E9A" w:rsidRPr="00C21D7D">
        <w:rPr>
          <w:rFonts w:ascii="Calibri" w:hAnsi="Calibri" w:cs="Calibri"/>
          <w:color w:val="000000" w:themeColor="text1"/>
          <w:sz w:val="22"/>
          <w:szCs w:val="22"/>
        </w:rPr>
        <w:t>procentního</w:t>
      </w:r>
      <w:r w:rsidRPr="00C21D7D">
        <w:rPr>
          <w:rFonts w:ascii="Calibri" w:hAnsi="Calibri" w:cs="Calibri"/>
          <w:color w:val="000000" w:themeColor="text1"/>
          <w:sz w:val="22"/>
          <w:szCs w:val="22"/>
        </w:rPr>
        <w:t xml:space="preserve"> bodu výše než v</w:t>
      </w:r>
      <w:r w:rsidR="00C21D7D" w:rsidRPr="00C21D7D">
        <w:rPr>
          <w:rFonts w:ascii="Calibri" w:hAnsi="Calibri" w:cs="Calibri"/>
          <w:color w:val="000000" w:themeColor="text1"/>
          <w:sz w:val="22"/>
          <w:szCs w:val="22"/>
        </w:rPr>
        <w:t> </w:t>
      </w:r>
      <w:r w:rsidRPr="00C21D7D">
        <w:rPr>
          <w:rFonts w:ascii="Calibri" w:hAnsi="Calibri" w:cs="Calibri"/>
          <w:color w:val="000000" w:themeColor="text1"/>
          <w:sz w:val="22"/>
          <w:szCs w:val="22"/>
        </w:rPr>
        <w:t>září</w:t>
      </w:r>
      <w:r w:rsidR="00C21D7D" w:rsidRPr="00C21D7D">
        <w:rPr>
          <w:rFonts w:ascii="Calibri" w:hAnsi="Calibri" w:cs="Calibri"/>
          <w:color w:val="000000" w:themeColor="text1"/>
          <w:sz w:val="22"/>
          <w:szCs w:val="22"/>
        </w:rPr>
        <w:t>, ale asi</w:t>
      </w:r>
      <w:r w:rsidRPr="00C21D7D">
        <w:rPr>
          <w:rFonts w:ascii="Calibri" w:hAnsi="Calibri" w:cs="Calibri"/>
          <w:color w:val="000000" w:themeColor="text1"/>
          <w:sz w:val="22"/>
          <w:szCs w:val="22"/>
        </w:rPr>
        <w:t xml:space="preserve"> 0,2</w:t>
      </w:r>
      <w:r w:rsidR="00D55E9A" w:rsidRPr="00C21D7D">
        <w:rPr>
          <w:rFonts w:ascii="Calibri" w:hAnsi="Calibri" w:cs="Calibri"/>
          <w:color w:val="000000" w:themeColor="text1"/>
          <w:sz w:val="22"/>
          <w:szCs w:val="22"/>
        </w:rPr>
        <w:t>procentního</w:t>
      </w:r>
      <w:r w:rsidRPr="00C21D7D">
        <w:rPr>
          <w:rFonts w:ascii="Calibri" w:hAnsi="Calibri" w:cs="Calibri"/>
          <w:color w:val="000000" w:themeColor="text1"/>
          <w:sz w:val="22"/>
          <w:szCs w:val="22"/>
        </w:rPr>
        <w:t xml:space="preserve"> bodu </w:t>
      </w:r>
      <w:r w:rsidR="00C21D7D" w:rsidRPr="00C21D7D">
        <w:rPr>
          <w:rFonts w:ascii="Calibri" w:hAnsi="Calibri" w:cs="Calibri"/>
          <w:color w:val="000000" w:themeColor="text1"/>
          <w:sz w:val="22"/>
          <w:szCs w:val="22"/>
        </w:rPr>
        <w:t>níže</w:t>
      </w:r>
      <w:r w:rsidRPr="00C21D7D">
        <w:rPr>
          <w:rFonts w:ascii="Calibri" w:hAnsi="Calibri" w:cs="Calibri"/>
          <w:color w:val="000000" w:themeColor="text1"/>
          <w:sz w:val="22"/>
          <w:szCs w:val="22"/>
        </w:rPr>
        <w:t xml:space="preserve"> než </w:t>
      </w:r>
      <w:r w:rsidR="00C21D7D" w:rsidRPr="00C21D7D">
        <w:rPr>
          <w:rFonts w:ascii="Calibri" w:hAnsi="Calibri" w:cs="Calibri"/>
          <w:color w:val="000000" w:themeColor="text1"/>
          <w:sz w:val="22"/>
          <w:szCs w:val="22"/>
        </w:rPr>
        <w:t>na začátku letošního ledna</w:t>
      </w:r>
      <w:r w:rsidRPr="00C21D7D">
        <w:rPr>
          <w:rFonts w:ascii="Calibri" w:hAnsi="Calibri" w:cs="Calibri"/>
          <w:color w:val="000000" w:themeColor="text1"/>
          <w:sz w:val="22"/>
          <w:szCs w:val="22"/>
        </w:rPr>
        <w:t xml:space="preserve">. To odráží </w:t>
      </w:r>
      <w:r w:rsidR="00C21D7D" w:rsidRPr="00C21D7D">
        <w:rPr>
          <w:rFonts w:ascii="Calibri" w:hAnsi="Calibri" w:cs="Calibri"/>
          <w:color w:val="000000" w:themeColor="text1"/>
          <w:sz w:val="22"/>
          <w:szCs w:val="22"/>
        </w:rPr>
        <w:t>pokles eurových sazeb blíže k 2,3 % z lednového nárůstu k 2,5 %. Na druhou strnu zůstávají úrokové sazby v</w:t>
      </w:r>
      <w:r w:rsidRPr="00C21D7D">
        <w:rPr>
          <w:rFonts w:ascii="Calibri" w:hAnsi="Calibri" w:cs="Calibri"/>
          <w:color w:val="000000" w:themeColor="text1"/>
          <w:sz w:val="22"/>
          <w:szCs w:val="22"/>
        </w:rPr>
        <w:t> USA přes 4,</w:t>
      </w:r>
      <w:r w:rsidR="00C21D7D" w:rsidRPr="00C21D7D">
        <w:rPr>
          <w:rFonts w:ascii="Calibri" w:hAnsi="Calibri" w:cs="Calibri"/>
          <w:color w:val="000000" w:themeColor="text1"/>
          <w:sz w:val="22"/>
          <w:szCs w:val="22"/>
        </w:rPr>
        <w:t>3</w:t>
      </w:r>
      <w:r w:rsidRPr="00C21D7D">
        <w:rPr>
          <w:rFonts w:ascii="Calibri" w:hAnsi="Calibri" w:cs="Calibri"/>
          <w:color w:val="000000" w:themeColor="text1"/>
          <w:sz w:val="22"/>
          <w:szCs w:val="22"/>
        </w:rPr>
        <w:t xml:space="preserve"> %, což je o </w:t>
      </w:r>
      <w:r w:rsidR="00C21D7D" w:rsidRPr="00C21D7D">
        <w:rPr>
          <w:rFonts w:ascii="Calibri" w:hAnsi="Calibri" w:cs="Calibri"/>
          <w:color w:val="000000" w:themeColor="text1"/>
          <w:sz w:val="22"/>
          <w:szCs w:val="22"/>
        </w:rPr>
        <w:t xml:space="preserve">necelý </w:t>
      </w:r>
      <w:r w:rsidRPr="00C21D7D">
        <w:rPr>
          <w:rFonts w:ascii="Calibri" w:hAnsi="Calibri" w:cs="Calibri"/>
          <w:color w:val="000000" w:themeColor="text1"/>
          <w:sz w:val="22"/>
          <w:szCs w:val="22"/>
        </w:rPr>
        <w:t xml:space="preserve">jeden procentní bod nad úrovní ze září. </w:t>
      </w:r>
    </w:p>
    <w:bookmarkEnd w:id="5"/>
    <w:p w14:paraId="5578E9B0" w14:textId="224938A8" w:rsidR="00F61FFC" w:rsidRPr="00A02F5D" w:rsidRDefault="00A9017B" w:rsidP="00AB48D1">
      <w:pPr>
        <w:rPr>
          <w:rFonts w:ascii="Calibri" w:hAnsi="Calibri" w:cs="Calibri"/>
          <w:sz w:val="22"/>
          <w:szCs w:val="22"/>
        </w:rPr>
      </w:pPr>
      <w:r w:rsidRPr="00A02F5D">
        <w:rPr>
          <w:rFonts w:ascii="Calibri" w:hAnsi="Calibri" w:cs="Calibri"/>
          <w:noProof/>
          <w:sz w:val="22"/>
          <w:szCs w:val="22"/>
        </w:rPr>
        <mc:AlternateContent>
          <mc:Choice Requires="wps">
            <w:drawing>
              <wp:anchor distT="0" distB="0" distL="114300" distR="114300" simplePos="0" relativeHeight="251678720" behindDoc="0" locked="0" layoutInCell="1" allowOverlap="1" wp14:anchorId="4A3D2F1B" wp14:editId="40575D41">
                <wp:simplePos x="0" y="0"/>
                <wp:positionH relativeFrom="margin">
                  <wp:align>left</wp:align>
                </wp:positionH>
                <wp:positionV relativeFrom="paragraph">
                  <wp:posOffset>201930</wp:posOffset>
                </wp:positionV>
                <wp:extent cx="6519545" cy="1019175"/>
                <wp:effectExtent l="0" t="0" r="14605" b="28575"/>
                <wp:wrapTopAndBottom/>
                <wp:docPr id="870128156" name="Rectangle 1"/>
                <wp:cNvGraphicFramePr/>
                <a:graphic xmlns:a="http://schemas.openxmlformats.org/drawingml/2006/main">
                  <a:graphicData uri="http://schemas.microsoft.com/office/word/2010/wordprocessingShape">
                    <wps:wsp>
                      <wps:cNvSpPr/>
                      <wps:spPr>
                        <a:xfrm>
                          <a:off x="0" y="0"/>
                          <a:ext cx="6519545" cy="10191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DFF558" w14:textId="73CAD145" w:rsidR="009A044E" w:rsidRPr="00143BF5" w:rsidRDefault="009A044E" w:rsidP="009A044E">
                            <w:pPr>
                              <w:rPr>
                                <w:b/>
                                <w:bCs/>
                              </w:rPr>
                            </w:pPr>
                            <w:r w:rsidRPr="00A02F5D">
                              <w:rPr>
                                <w:rFonts w:ascii="Calibri" w:eastAsia="Calibri" w:hAnsi="Calibri" w:cs="Calibri"/>
                                <w:i/>
                                <w:iCs/>
                                <w:sz w:val="22"/>
                                <w:szCs w:val="22"/>
                              </w:rPr>
                              <w:t>„</w:t>
                            </w:r>
                            <w:r w:rsidR="007323B9" w:rsidRPr="007323B9">
                              <w:rPr>
                                <w:rFonts w:ascii="Calibri" w:eastAsia="Calibri" w:hAnsi="Calibri" w:cs="Calibri"/>
                                <w:i/>
                                <w:iCs/>
                                <w:color w:val="000000" w:themeColor="text1"/>
                                <w:sz w:val="22"/>
                                <w:szCs w:val="22"/>
                              </w:rPr>
                              <w:t>Pokles úrokové sazby příznivě dopadá na rozpočet domácnost, ale to pouze částečně, asi ze dvou třetin, kompenzuje dopad nárůstu průměrné výše hypotéky. Celkový dopad na čistý příjem žadatele je tak asi mínus jedno procento</w:t>
                            </w:r>
                            <w:r w:rsidR="00AF1091" w:rsidRPr="00A02F5D">
                              <w:rPr>
                                <w:rFonts w:ascii="Calibri" w:eastAsia="Calibri" w:hAnsi="Calibri" w:cs="Calibri"/>
                                <w:i/>
                                <w:iCs/>
                                <w:sz w:val="22"/>
                                <w:szCs w:val="22"/>
                              </w:rPr>
                              <w:t>,</w:t>
                            </w:r>
                            <w:r w:rsidRPr="00A02F5D">
                              <w:rPr>
                                <w:rFonts w:ascii="Calibri" w:eastAsia="Calibri" w:hAnsi="Calibri" w:cs="Calibri"/>
                                <w:i/>
                                <w:iCs/>
                                <w:sz w:val="22"/>
                                <w:szCs w:val="22"/>
                              </w:rPr>
                              <w:t xml:space="preserve">“ </w:t>
                            </w:r>
                            <w:r w:rsidR="00641532">
                              <w:rPr>
                                <w:rFonts w:ascii="Calibri" w:eastAsia="Calibri" w:hAnsi="Calibri" w:cs="Calibri"/>
                                <w:b/>
                                <w:bCs/>
                                <w:sz w:val="22"/>
                                <w:szCs w:val="22"/>
                              </w:rPr>
                              <w:t>přidává</w:t>
                            </w:r>
                            <w:r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Jaromír Šindel</w:t>
                            </w:r>
                            <w:r w:rsidR="00CD2107"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hlavní ekonom</w:t>
                            </w:r>
                            <w:r w:rsidR="00CD2107" w:rsidRPr="00A02F5D">
                              <w:rPr>
                                <w:rFonts w:ascii="Calibri" w:eastAsia="Calibri" w:hAnsi="Calibri" w:cs="Calibri"/>
                                <w:b/>
                                <w:bCs/>
                                <w:sz w:val="22"/>
                                <w:szCs w:val="22"/>
                              </w:rPr>
                              <w:t xml:space="preserve"> Česk</w:t>
                            </w:r>
                            <w:r w:rsidR="002138C0" w:rsidRPr="00A02F5D">
                              <w:rPr>
                                <w:rFonts w:ascii="Calibri" w:eastAsia="Calibri" w:hAnsi="Calibri" w:cs="Calibri"/>
                                <w:b/>
                                <w:bCs/>
                                <w:sz w:val="22"/>
                                <w:szCs w:val="22"/>
                              </w:rPr>
                              <w:t>é</w:t>
                            </w:r>
                            <w:r w:rsidR="00CD2107" w:rsidRPr="00A02F5D">
                              <w:rPr>
                                <w:rFonts w:ascii="Calibri" w:eastAsia="Calibri" w:hAnsi="Calibri" w:cs="Calibri"/>
                                <w:b/>
                                <w:bCs/>
                                <w:sz w:val="22"/>
                                <w:szCs w:val="22"/>
                              </w:rPr>
                              <w:t xml:space="preserve"> bankovní asociace</w:t>
                            </w:r>
                            <w:r w:rsidR="0028055F" w:rsidRPr="00A02F5D">
                              <w:rPr>
                                <w:rFonts w:ascii="Calibri" w:eastAsia="Calibri" w:hAnsi="Calibri" w:cs="Calibri"/>
                                <w:b/>
                                <w:bCs/>
                                <w:sz w:val="22"/>
                                <w:szCs w:val="22"/>
                              </w:rPr>
                              <w:t>.</w:t>
                            </w:r>
                          </w:p>
                          <w:p w14:paraId="6D0F8AD9" w14:textId="5F4A565C" w:rsidR="000E087A" w:rsidRPr="00143BF5" w:rsidRDefault="000E087A" w:rsidP="000E087A">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8" style="position:absolute;left:0;text-align:left;margin-left:0;margin-top:15.9pt;width:513.35pt;height:80.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" fillcolor="white [3201]" strokecolor="black [3213]" strokeweight=".5pt">
                <v:textbox>
                  <w:txbxContent>
                    <w:p w14:paraId="41DFF558" w14:textId="73CAD145" w:rsidR="009A044E" w:rsidRPr="00143BF5" w:rsidRDefault="009A044E" w:rsidP="009A044E">
                      <w:pPr>
                        <w:rPr>
                          <w:b/>
                          <w:bCs/>
                        </w:rPr>
                      </w:pPr>
                      <w:r w:rsidRPr="00A02F5D">
                        <w:rPr>
                          <w:rFonts w:ascii="Calibri" w:eastAsia="Calibri" w:hAnsi="Calibri" w:cs="Calibri"/>
                          <w:i/>
                          <w:iCs/>
                          <w:sz w:val="22"/>
                          <w:szCs w:val="22"/>
                        </w:rPr>
                        <w:t>„</w:t>
                      </w:r>
                      <w:r w:rsidR="007323B9" w:rsidRPr="007323B9">
                        <w:rPr>
                          <w:rFonts w:ascii="Calibri" w:eastAsia="Calibri" w:hAnsi="Calibri" w:cs="Calibri"/>
                          <w:i/>
                          <w:iCs/>
                          <w:color w:val="000000" w:themeColor="text1"/>
                          <w:sz w:val="22"/>
                          <w:szCs w:val="22"/>
                        </w:rPr>
                        <w:t>Pokles úrokové sazby příznivě dopadá na rozpočet domácnost, ale to pouze částečně, asi ze dvou třetin, kompenzuje dopad nárůstu průměrné výše hypotéky. Celkový dopad na čistý příjem žadatele je tak asi mínus jedno procento</w:t>
                      </w:r>
                      <w:r w:rsidR="00AF1091" w:rsidRPr="00A02F5D">
                        <w:rPr>
                          <w:rFonts w:ascii="Calibri" w:eastAsia="Calibri" w:hAnsi="Calibri" w:cs="Calibri"/>
                          <w:i/>
                          <w:iCs/>
                          <w:sz w:val="22"/>
                          <w:szCs w:val="22"/>
                        </w:rPr>
                        <w:t>,</w:t>
                      </w:r>
                      <w:r w:rsidRPr="00A02F5D">
                        <w:rPr>
                          <w:rFonts w:ascii="Calibri" w:eastAsia="Calibri" w:hAnsi="Calibri" w:cs="Calibri"/>
                          <w:i/>
                          <w:iCs/>
                          <w:sz w:val="22"/>
                          <w:szCs w:val="22"/>
                        </w:rPr>
                        <w:t xml:space="preserve">“ </w:t>
                      </w:r>
                      <w:r w:rsidR="00641532">
                        <w:rPr>
                          <w:rFonts w:ascii="Calibri" w:eastAsia="Calibri" w:hAnsi="Calibri" w:cs="Calibri"/>
                          <w:b/>
                          <w:bCs/>
                          <w:sz w:val="22"/>
                          <w:szCs w:val="22"/>
                        </w:rPr>
                        <w:t>přidává</w:t>
                      </w:r>
                      <w:r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Jaromír Šindel</w:t>
                      </w:r>
                      <w:r w:rsidR="00CD2107" w:rsidRPr="00A02F5D">
                        <w:rPr>
                          <w:rFonts w:ascii="Calibri" w:eastAsia="Calibri" w:hAnsi="Calibri" w:cs="Calibri"/>
                          <w:b/>
                          <w:bCs/>
                          <w:sz w:val="22"/>
                          <w:szCs w:val="22"/>
                        </w:rPr>
                        <w:t xml:space="preserve">, </w:t>
                      </w:r>
                      <w:r w:rsidR="002138C0" w:rsidRPr="00A02F5D">
                        <w:rPr>
                          <w:rFonts w:ascii="Calibri" w:eastAsia="Calibri" w:hAnsi="Calibri" w:cs="Calibri"/>
                          <w:b/>
                          <w:bCs/>
                          <w:sz w:val="22"/>
                          <w:szCs w:val="22"/>
                        </w:rPr>
                        <w:t>hlavní ekonom</w:t>
                      </w:r>
                      <w:r w:rsidR="00CD2107" w:rsidRPr="00A02F5D">
                        <w:rPr>
                          <w:rFonts w:ascii="Calibri" w:eastAsia="Calibri" w:hAnsi="Calibri" w:cs="Calibri"/>
                          <w:b/>
                          <w:bCs/>
                          <w:sz w:val="22"/>
                          <w:szCs w:val="22"/>
                        </w:rPr>
                        <w:t xml:space="preserve"> Česk</w:t>
                      </w:r>
                      <w:r w:rsidR="002138C0" w:rsidRPr="00A02F5D">
                        <w:rPr>
                          <w:rFonts w:ascii="Calibri" w:eastAsia="Calibri" w:hAnsi="Calibri" w:cs="Calibri"/>
                          <w:b/>
                          <w:bCs/>
                          <w:sz w:val="22"/>
                          <w:szCs w:val="22"/>
                        </w:rPr>
                        <w:t>é</w:t>
                      </w:r>
                      <w:r w:rsidR="00CD2107" w:rsidRPr="00A02F5D">
                        <w:rPr>
                          <w:rFonts w:ascii="Calibri" w:eastAsia="Calibri" w:hAnsi="Calibri" w:cs="Calibri"/>
                          <w:b/>
                          <w:bCs/>
                          <w:sz w:val="22"/>
                          <w:szCs w:val="22"/>
                        </w:rPr>
                        <w:t xml:space="preserve"> bankovní asociace</w:t>
                      </w:r>
                      <w:r w:rsidR="0028055F" w:rsidRPr="00A02F5D">
                        <w:rPr>
                          <w:rFonts w:ascii="Calibri" w:eastAsia="Calibri" w:hAnsi="Calibri" w:cs="Calibri"/>
                          <w:b/>
                          <w:bCs/>
                          <w:sz w:val="22"/>
                          <w:szCs w:val="22"/>
                        </w:rPr>
                        <w:t>.</w:t>
                      </w:r>
                    </w:p>
                    <w:p w14:paraId="6D0F8AD9" w14:textId="5F4A565C" w:rsidR="000E087A" w:rsidRPr="00143BF5" w:rsidRDefault="000E087A" w:rsidP="000E087A">
                      <w:pPr>
                        <w:rPr>
                          <w:b/>
                          <w:bCs/>
                        </w:rPr>
                      </w:pPr>
                    </w:p>
                  </w:txbxContent>
                </v:textbox>
                <w10:wrap type="topAndBottom" anchorx="margin"/>
              </v:rect>
            </w:pict>
          </mc:Fallback>
        </mc:AlternateContent>
      </w:r>
    </w:p>
    <w:p w14:paraId="4C111FFA" w14:textId="6FB64D22" w:rsidR="00A9017B" w:rsidRPr="00A02F5D" w:rsidRDefault="00A9017B" w:rsidP="00B04FE2">
      <w:pPr>
        <w:rPr>
          <w:rFonts w:ascii="Calibri" w:hAnsi="Calibri" w:cs="Calibri"/>
          <w:b/>
          <w:color w:val="13576B"/>
          <w:sz w:val="24"/>
          <w:szCs w:val="24"/>
        </w:rPr>
      </w:pPr>
      <w:bookmarkStart w:id="6" w:name="_Hlk100672905"/>
    </w:p>
    <w:p w14:paraId="72E83631" w14:textId="04556759" w:rsidR="00B04FE2" w:rsidRPr="00A02F5D" w:rsidRDefault="00E4296A" w:rsidP="00B04FE2">
      <w:pPr>
        <w:rPr>
          <w:rFonts w:ascii="Calibri" w:hAnsi="Calibri" w:cs="Calibri"/>
          <w:b/>
          <w:color w:val="13576B"/>
          <w:sz w:val="24"/>
          <w:szCs w:val="24"/>
        </w:rPr>
      </w:pPr>
      <w:r w:rsidRPr="00A02F5D">
        <w:rPr>
          <w:rFonts w:ascii="Calibri" w:hAnsi="Calibri" w:cs="Calibri"/>
          <w:b/>
          <w:color w:val="13576B"/>
          <w:sz w:val="24"/>
          <w:szCs w:val="24"/>
        </w:rPr>
        <w:t xml:space="preserve">Průměrná velikost </w:t>
      </w:r>
      <w:r w:rsidR="00D73AAF" w:rsidRPr="00A02F5D">
        <w:rPr>
          <w:rFonts w:ascii="Calibri" w:hAnsi="Calibri" w:cs="Calibri"/>
          <w:b/>
          <w:color w:val="13576B"/>
          <w:sz w:val="24"/>
          <w:szCs w:val="24"/>
        </w:rPr>
        <w:t xml:space="preserve">hypotéky </w:t>
      </w:r>
      <w:r w:rsidR="00AF2306">
        <w:rPr>
          <w:rFonts w:ascii="Calibri" w:hAnsi="Calibri" w:cs="Calibri"/>
          <w:b/>
          <w:color w:val="13576B"/>
          <w:sz w:val="24"/>
          <w:szCs w:val="24"/>
        </w:rPr>
        <w:t>v led</w:t>
      </w:r>
      <w:r w:rsidR="001E4370">
        <w:rPr>
          <w:rFonts w:ascii="Calibri" w:hAnsi="Calibri" w:cs="Calibri"/>
          <w:b/>
          <w:color w:val="13576B"/>
          <w:sz w:val="24"/>
          <w:szCs w:val="24"/>
        </w:rPr>
        <w:t>n</w:t>
      </w:r>
      <w:r w:rsidR="00AF2306">
        <w:rPr>
          <w:rFonts w:ascii="Calibri" w:hAnsi="Calibri" w:cs="Calibri"/>
          <w:b/>
          <w:color w:val="13576B"/>
          <w:sz w:val="24"/>
          <w:szCs w:val="24"/>
        </w:rPr>
        <w:t>u dále stoupl</w:t>
      </w:r>
      <w:r w:rsidR="001E4370">
        <w:rPr>
          <w:rFonts w:ascii="Calibri" w:hAnsi="Calibri" w:cs="Calibri"/>
          <w:b/>
          <w:color w:val="13576B"/>
          <w:sz w:val="24"/>
          <w:szCs w:val="24"/>
        </w:rPr>
        <w:t>a</w:t>
      </w:r>
      <w:r w:rsidR="00AF2306">
        <w:rPr>
          <w:rFonts w:ascii="Calibri" w:hAnsi="Calibri" w:cs="Calibri"/>
          <w:b/>
          <w:color w:val="13576B"/>
          <w:sz w:val="24"/>
          <w:szCs w:val="24"/>
        </w:rPr>
        <w:t xml:space="preserve"> kvůli </w:t>
      </w:r>
      <w:r w:rsidR="001E4370">
        <w:rPr>
          <w:rFonts w:ascii="Calibri" w:hAnsi="Calibri" w:cs="Calibri"/>
          <w:b/>
          <w:color w:val="13576B"/>
          <w:sz w:val="24"/>
          <w:szCs w:val="24"/>
        </w:rPr>
        <w:t xml:space="preserve">úvěrům </w:t>
      </w:r>
      <w:r w:rsidR="00AF2306">
        <w:rPr>
          <w:rFonts w:ascii="Calibri" w:hAnsi="Calibri" w:cs="Calibri"/>
          <w:b/>
          <w:color w:val="13576B"/>
          <w:sz w:val="24"/>
          <w:szCs w:val="24"/>
        </w:rPr>
        <w:t>na výstavbu</w:t>
      </w:r>
    </w:p>
    <w:p w14:paraId="28ED20F8" w14:textId="77777777" w:rsidR="00B31E3C" w:rsidRPr="00A02F5D" w:rsidRDefault="00B31E3C" w:rsidP="00B04FE2">
      <w:pPr>
        <w:rPr>
          <w:rFonts w:ascii="Calibri" w:hAnsi="Calibri" w:cs="Calibri"/>
          <w:b/>
          <w:color w:val="13576B"/>
          <w:sz w:val="24"/>
          <w:szCs w:val="24"/>
        </w:rPr>
      </w:pPr>
    </w:p>
    <w:p w14:paraId="2638C4EE" w14:textId="1FC93706" w:rsidR="005B4E45" w:rsidRDefault="005B4E45" w:rsidP="005B4E45">
      <w:pPr>
        <w:overflowPunct/>
        <w:autoSpaceDE/>
        <w:autoSpaceDN/>
        <w:adjustRightInd/>
        <w:textAlignment w:val="auto"/>
        <w:rPr>
          <w:rFonts w:ascii="Calibri" w:hAnsi="Calibri" w:cs="Calibri"/>
          <w:color w:val="000000"/>
          <w:sz w:val="22"/>
          <w:szCs w:val="22"/>
        </w:rPr>
      </w:pPr>
      <w:r w:rsidRPr="005B4E45">
        <w:rPr>
          <w:rFonts w:ascii="Calibri" w:hAnsi="Calibri" w:cs="Calibri"/>
          <w:b/>
          <w:bCs/>
          <w:color w:val="000000"/>
          <w:sz w:val="22"/>
          <w:szCs w:val="22"/>
        </w:rPr>
        <w:t>Průměrná velikost skutečně nově poskytnuté hypotéky v lednu mírně stoupla na 3,92 mil. Kč, tedy o téměř 2 % meziměsíčně. Její velikost je tak o 15 % vyšší než 3,41 mil. Kč před rokem.</w:t>
      </w:r>
      <w:r w:rsidRPr="005B4E45">
        <w:rPr>
          <w:rFonts w:ascii="Calibri" w:hAnsi="Calibri" w:cs="Calibri"/>
          <w:color w:val="000000"/>
          <w:sz w:val="22"/>
          <w:szCs w:val="22"/>
        </w:rPr>
        <w:t xml:space="preserve"> </w:t>
      </w:r>
      <w:r w:rsidR="00843286">
        <w:rPr>
          <w:rFonts w:ascii="Calibri" w:hAnsi="Calibri" w:cs="Calibri"/>
          <w:color w:val="000000"/>
          <w:sz w:val="22"/>
          <w:szCs w:val="22"/>
        </w:rPr>
        <w:t>Lednový růst byl tažen novými hypotékami na výstavbu, zatímco průměrná hypoték</w:t>
      </w:r>
      <w:r w:rsidR="001E4370">
        <w:rPr>
          <w:rFonts w:ascii="Calibri" w:hAnsi="Calibri" w:cs="Calibri"/>
          <w:color w:val="000000"/>
          <w:sz w:val="22"/>
          <w:szCs w:val="22"/>
        </w:rPr>
        <w:t>a</w:t>
      </w:r>
      <w:r w:rsidR="00843286">
        <w:rPr>
          <w:rFonts w:ascii="Calibri" w:hAnsi="Calibri" w:cs="Calibri"/>
          <w:color w:val="000000"/>
          <w:sz w:val="22"/>
          <w:szCs w:val="22"/>
        </w:rPr>
        <w:t xml:space="preserve"> na koupi nemovitosti spíše stagnovala. </w:t>
      </w:r>
      <w:r w:rsidRPr="005B4E45">
        <w:rPr>
          <w:rFonts w:ascii="Calibri" w:hAnsi="Calibri" w:cs="Calibri"/>
          <w:color w:val="000000"/>
          <w:sz w:val="22"/>
          <w:szCs w:val="22"/>
        </w:rPr>
        <w:t>To odráž</w:t>
      </w:r>
      <w:r w:rsidR="00843286">
        <w:rPr>
          <w:rFonts w:ascii="Calibri" w:hAnsi="Calibri" w:cs="Calibri"/>
          <w:color w:val="000000"/>
          <w:sz w:val="22"/>
          <w:szCs w:val="22"/>
        </w:rPr>
        <w:t>í</w:t>
      </w:r>
      <w:r w:rsidRPr="005B4E45">
        <w:rPr>
          <w:rFonts w:ascii="Calibri" w:hAnsi="Calibri" w:cs="Calibri"/>
          <w:color w:val="000000"/>
          <w:sz w:val="22"/>
          <w:szCs w:val="22"/>
        </w:rPr>
        <w:t xml:space="preserve"> kombinaci vyšších cen nemovitostí, růstu mezd a nižších úrokových sazeb. Odhlédneme-li od mimořádné hodnoty téměř 4 mil. Kč v srpnu 2024 (vliv nové legislativy), tak průměrná hodnota od dubna postupně roste a převyšuje předcházející rekordní úroveň z listopadu 2021 ve výši 3,46 mil. Kč. Dosáhnout na vyšší hypotéku umožňuje postupný pokles hypotečních sazeb či pokračující uvolnění </w:t>
      </w:r>
      <w:proofErr w:type="spellStart"/>
      <w:r w:rsidRPr="005B4E45">
        <w:rPr>
          <w:rFonts w:ascii="Calibri" w:hAnsi="Calibri" w:cs="Calibri"/>
          <w:color w:val="000000"/>
          <w:sz w:val="22"/>
          <w:szCs w:val="22"/>
        </w:rPr>
        <w:t>makroobezřetnostních</w:t>
      </w:r>
      <w:proofErr w:type="spellEnd"/>
      <w:r w:rsidRPr="005B4E45">
        <w:rPr>
          <w:rFonts w:ascii="Calibri" w:hAnsi="Calibri" w:cs="Calibri"/>
          <w:color w:val="000000"/>
          <w:sz w:val="22"/>
          <w:szCs w:val="22"/>
        </w:rPr>
        <w:t xml:space="preserve"> příjmových limitů ze strany ČNB společně s postupným růstem reálných příjmů domácností. Výše hypotéky pak souvisí také s vývojem cen nemovitostí, které byly ve 3. čtvrtletí </w:t>
      </w:r>
      <w:r w:rsidR="00843286" w:rsidRPr="00843286">
        <w:rPr>
          <w:rFonts w:ascii="Calibri" w:hAnsi="Calibri" w:cs="Calibri"/>
          <w:color w:val="000000"/>
          <w:sz w:val="22"/>
          <w:szCs w:val="22"/>
        </w:rPr>
        <w:t>loňského</w:t>
      </w:r>
      <w:r w:rsidR="00843286">
        <w:rPr>
          <w:rFonts w:ascii="Calibri" w:hAnsi="Calibri" w:cs="Calibri"/>
          <w:color w:val="000000"/>
          <w:sz w:val="22"/>
          <w:szCs w:val="22"/>
        </w:rPr>
        <w:t xml:space="preserve"> </w:t>
      </w:r>
      <w:r w:rsidRPr="005B4E45">
        <w:rPr>
          <w:rFonts w:ascii="Calibri" w:hAnsi="Calibri" w:cs="Calibri"/>
          <w:color w:val="000000"/>
          <w:sz w:val="22"/>
          <w:szCs w:val="22"/>
        </w:rPr>
        <w:t xml:space="preserve">roku zhruba o 10 % meziročně výše.  </w:t>
      </w:r>
    </w:p>
    <w:p w14:paraId="7A07A1A9" w14:textId="77777777" w:rsidR="00B267FA" w:rsidRDefault="00B267FA" w:rsidP="005B4E45">
      <w:pPr>
        <w:overflowPunct/>
        <w:autoSpaceDE/>
        <w:autoSpaceDN/>
        <w:adjustRightInd/>
        <w:textAlignment w:val="auto"/>
        <w:rPr>
          <w:rFonts w:ascii="Calibri" w:hAnsi="Calibri" w:cs="Calibri"/>
          <w:color w:val="000000"/>
          <w:sz w:val="22"/>
          <w:szCs w:val="22"/>
        </w:rPr>
      </w:pPr>
    </w:p>
    <w:p w14:paraId="3A9AFF8D" w14:textId="77777777" w:rsidR="00B267FA" w:rsidRDefault="00B267FA" w:rsidP="005B4E45">
      <w:pPr>
        <w:overflowPunct/>
        <w:autoSpaceDE/>
        <w:autoSpaceDN/>
        <w:adjustRightInd/>
        <w:textAlignment w:val="auto"/>
        <w:rPr>
          <w:rFonts w:ascii="Calibri" w:hAnsi="Calibri" w:cs="Calibri"/>
          <w:color w:val="000000"/>
          <w:sz w:val="22"/>
          <w:szCs w:val="22"/>
        </w:rPr>
      </w:pPr>
    </w:p>
    <w:p w14:paraId="34FD7938" w14:textId="77777777" w:rsidR="00B267FA" w:rsidRPr="005B4E45" w:rsidRDefault="00B267FA" w:rsidP="005B4E45">
      <w:pPr>
        <w:overflowPunct/>
        <w:autoSpaceDE/>
        <w:autoSpaceDN/>
        <w:adjustRightInd/>
        <w:textAlignment w:val="auto"/>
        <w:rPr>
          <w:rFonts w:ascii="Calibri" w:hAnsi="Calibri" w:cs="Calibri"/>
          <w:color w:val="000000"/>
          <w:sz w:val="22"/>
          <w:szCs w:val="22"/>
        </w:rPr>
      </w:pPr>
    </w:p>
    <w:p w14:paraId="3914B59E" w14:textId="77777777" w:rsidR="00AF2306" w:rsidRDefault="00AF2306" w:rsidP="00263207">
      <w:pPr>
        <w:rPr>
          <w:rFonts w:ascii="Calibri" w:hAnsi="Calibri" w:cs="Calibri"/>
          <w:sz w:val="22"/>
          <w:szCs w:val="22"/>
        </w:rPr>
      </w:pPr>
    </w:p>
    <w:p w14:paraId="08887148" w14:textId="504D139E" w:rsidR="00AF2306" w:rsidRDefault="00AF2306" w:rsidP="00AF2306">
      <w:pPr>
        <w:spacing w:after="120"/>
        <w:rPr>
          <w:rFonts w:ascii="Calibri" w:hAnsi="Calibri" w:cs="Calibri"/>
          <w:b/>
          <w:color w:val="13576B"/>
          <w:sz w:val="23"/>
          <w:szCs w:val="23"/>
        </w:rPr>
      </w:pPr>
      <w:r w:rsidRPr="005B4653">
        <w:rPr>
          <w:rFonts w:ascii="Calibri" w:hAnsi="Calibri" w:cs="Calibri"/>
          <w:b/>
          <w:color w:val="13576B"/>
          <w:sz w:val="23"/>
          <w:szCs w:val="23"/>
        </w:rPr>
        <w:lastRenderedPageBreak/>
        <w:t xml:space="preserve">Graf č. </w:t>
      </w:r>
      <w:r>
        <w:rPr>
          <w:rFonts w:ascii="Calibri" w:hAnsi="Calibri" w:cs="Calibri"/>
          <w:b/>
          <w:color w:val="13576B"/>
          <w:sz w:val="23"/>
          <w:szCs w:val="23"/>
        </w:rPr>
        <w:t>2</w:t>
      </w:r>
      <w:r w:rsidRPr="005B4653">
        <w:rPr>
          <w:rFonts w:ascii="Calibri" w:hAnsi="Calibri" w:cs="Calibri"/>
          <w:b/>
          <w:color w:val="13576B"/>
          <w:sz w:val="23"/>
          <w:szCs w:val="23"/>
        </w:rPr>
        <w:t xml:space="preserve">: Průměrná </w:t>
      </w:r>
      <w:r>
        <w:rPr>
          <w:rFonts w:ascii="Calibri" w:hAnsi="Calibri" w:cs="Calibri"/>
          <w:b/>
          <w:color w:val="13576B"/>
          <w:sz w:val="23"/>
          <w:szCs w:val="23"/>
        </w:rPr>
        <w:t>výše skutečně nově poskytnuté hypotéky</w:t>
      </w:r>
      <w:r w:rsidRPr="005B4653">
        <w:rPr>
          <w:rFonts w:ascii="Calibri" w:hAnsi="Calibri" w:cs="Calibri"/>
          <w:b/>
          <w:color w:val="13576B"/>
          <w:sz w:val="23"/>
          <w:szCs w:val="23"/>
        </w:rPr>
        <w:t xml:space="preserve"> </w:t>
      </w:r>
      <w:r>
        <w:rPr>
          <w:rFonts w:ascii="Calibri" w:hAnsi="Calibri" w:cs="Calibri"/>
          <w:b/>
          <w:color w:val="13576B"/>
          <w:sz w:val="23"/>
          <w:szCs w:val="23"/>
        </w:rPr>
        <w:t>podle účelu</w:t>
      </w:r>
    </w:p>
    <w:p w14:paraId="756E79B2" w14:textId="351D161F" w:rsidR="00AF2306" w:rsidRPr="002138C0" w:rsidRDefault="00AF2306" w:rsidP="00AF2306">
      <w:pPr>
        <w:rPr>
          <w:rFonts w:ascii="Calibri" w:hAnsi="Calibri" w:cs="Calibri"/>
          <w:sz w:val="22"/>
          <w:szCs w:val="22"/>
          <w:highlight w:val="yellow"/>
        </w:rPr>
      </w:pPr>
      <w:r w:rsidRPr="00AF2306">
        <w:rPr>
          <w:rFonts w:ascii="Calibri" w:hAnsi="Calibri" w:cs="Calibri"/>
          <w:noProof/>
          <w:sz w:val="22"/>
          <w:szCs w:val="22"/>
          <w:highlight w:val="yellow"/>
        </w:rPr>
        <w:drawing>
          <wp:inline distT="0" distB="0" distL="0" distR="0" wp14:anchorId="063C2BD7" wp14:editId="3CF586EF">
            <wp:extent cx="3832860" cy="2251504"/>
            <wp:effectExtent l="0" t="0" r="0" b="0"/>
            <wp:docPr id="11678579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694" cy="2257868"/>
                    </a:xfrm>
                    <a:prstGeom prst="rect">
                      <a:avLst/>
                    </a:prstGeom>
                    <a:noFill/>
                    <a:ln>
                      <a:noFill/>
                    </a:ln>
                  </pic:spPr>
                </pic:pic>
              </a:graphicData>
            </a:graphic>
          </wp:inline>
        </w:drawing>
      </w:r>
    </w:p>
    <w:p w14:paraId="2A3F97C1" w14:textId="77777777" w:rsidR="00AF2306" w:rsidRPr="00616069" w:rsidRDefault="00AF2306" w:rsidP="00AF2306">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w:t>
      </w:r>
      <w:r>
        <w:rPr>
          <w:rFonts w:ascii="Calibri Light" w:hAnsi="Calibri Light" w:cs="Calibri Light"/>
          <w:color w:val="13576B"/>
          <w:sz w:val="20"/>
        </w:rPr>
        <w:t xml:space="preserve">ČNB, </w:t>
      </w:r>
      <w:r w:rsidRPr="002F4CBD">
        <w:rPr>
          <w:rFonts w:ascii="Calibri Light" w:hAnsi="Calibri Light" w:cs="Calibri Light"/>
          <w:color w:val="13576B"/>
          <w:sz w:val="20"/>
        </w:rPr>
        <w:t xml:space="preserve">ČBA </w:t>
      </w:r>
      <w:proofErr w:type="spellStart"/>
      <w:r w:rsidRPr="002F4CBD">
        <w:rPr>
          <w:rFonts w:ascii="Calibri Light" w:hAnsi="Calibri Light" w:cs="Calibri Light"/>
          <w:color w:val="13576B"/>
          <w:sz w:val="20"/>
        </w:rPr>
        <w:t>Hypomonitor</w:t>
      </w:r>
      <w:proofErr w:type="spellEnd"/>
    </w:p>
    <w:p w14:paraId="504880F7" w14:textId="77777777" w:rsidR="00AF2306" w:rsidRPr="00A02F5D" w:rsidRDefault="00AF2306" w:rsidP="00263207">
      <w:pPr>
        <w:rPr>
          <w:rFonts w:ascii="Calibri" w:hAnsi="Calibri" w:cs="Calibri"/>
          <w:sz w:val="22"/>
          <w:szCs w:val="22"/>
        </w:rPr>
      </w:pPr>
    </w:p>
    <w:p w14:paraId="6053D3C2" w14:textId="77777777" w:rsidR="00B31E3C" w:rsidRPr="00A02F5D" w:rsidRDefault="00B31E3C" w:rsidP="00263207">
      <w:pPr>
        <w:rPr>
          <w:rFonts w:ascii="Calibri" w:hAnsi="Calibri" w:cs="Calibri"/>
          <w:b/>
          <w:bCs/>
          <w:sz w:val="22"/>
          <w:szCs w:val="22"/>
        </w:rPr>
      </w:pPr>
    </w:p>
    <w:p w14:paraId="66B13E97" w14:textId="0F7095A0" w:rsidR="00AF2306" w:rsidRDefault="00AF2306" w:rsidP="00AF2306">
      <w:pPr>
        <w:rPr>
          <w:rFonts w:ascii="Calibri" w:hAnsi="Calibri" w:cs="Calibri"/>
          <w:b/>
          <w:color w:val="13576B"/>
          <w:sz w:val="24"/>
          <w:szCs w:val="24"/>
        </w:rPr>
      </w:pPr>
      <w:r w:rsidRPr="00AF2306">
        <w:rPr>
          <w:rFonts w:ascii="Calibri" w:hAnsi="Calibri" w:cs="Calibri"/>
          <w:b/>
          <w:color w:val="13576B"/>
          <w:sz w:val="24"/>
          <w:szCs w:val="24"/>
        </w:rPr>
        <w:t>Dopad na průměrnou splátku</w:t>
      </w:r>
    </w:p>
    <w:p w14:paraId="101182EF" w14:textId="77777777" w:rsidR="00AF2306" w:rsidRPr="00AF2306" w:rsidRDefault="00AF2306" w:rsidP="00AF2306">
      <w:pPr>
        <w:rPr>
          <w:rFonts w:ascii="Calibri" w:hAnsi="Calibri" w:cs="Calibri"/>
          <w:b/>
          <w:color w:val="13576B"/>
          <w:sz w:val="24"/>
          <w:szCs w:val="24"/>
        </w:rPr>
      </w:pPr>
    </w:p>
    <w:p w14:paraId="3DCAE7D1" w14:textId="05509496" w:rsidR="00A02F5D" w:rsidRDefault="005B4E45" w:rsidP="005578C6">
      <w:pPr>
        <w:overflowPunct/>
        <w:autoSpaceDE/>
        <w:autoSpaceDN/>
        <w:adjustRightInd/>
        <w:spacing w:after="160" w:line="259" w:lineRule="auto"/>
        <w:textAlignment w:val="auto"/>
        <w:rPr>
          <w:rFonts w:ascii="Calibri" w:hAnsi="Calibri" w:cs="Calibri"/>
          <w:b/>
          <w:bCs/>
          <w:sz w:val="22"/>
          <w:szCs w:val="22"/>
        </w:rPr>
      </w:pPr>
      <w:r w:rsidRPr="005B4E45">
        <w:rPr>
          <w:rFonts w:ascii="Calibri" w:hAnsi="Calibri" w:cs="Calibri"/>
          <w:b/>
          <w:bCs/>
          <w:sz w:val="22"/>
          <w:szCs w:val="22"/>
        </w:rPr>
        <w:t xml:space="preserve">Pokles hypotečních úrokových sazeb v letošním roce prozatím snížil měsíční splátku u průměrné nové hypotéky o přibližně 3 %, </w:t>
      </w:r>
      <w:r w:rsidR="00843286">
        <w:rPr>
          <w:rFonts w:ascii="Calibri" w:hAnsi="Calibri" w:cs="Calibri"/>
          <w:b/>
          <w:bCs/>
          <w:sz w:val="22"/>
          <w:szCs w:val="22"/>
        </w:rPr>
        <w:t xml:space="preserve">tedy </w:t>
      </w:r>
      <w:r w:rsidRPr="005B4E45">
        <w:rPr>
          <w:rFonts w:ascii="Calibri" w:hAnsi="Calibri" w:cs="Calibri"/>
          <w:b/>
          <w:bCs/>
          <w:sz w:val="22"/>
          <w:szCs w:val="22"/>
        </w:rPr>
        <w:t xml:space="preserve">o 0,8 % čistého příjmu žadatele. </w:t>
      </w:r>
      <w:r w:rsidRPr="005B4E45">
        <w:rPr>
          <w:rFonts w:ascii="Calibri" w:hAnsi="Calibri" w:cs="Calibri"/>
          <w:sz w:val="22"/>
          <w:szCs w:val="22"/>
        </w:rPr>
        <w:t xml:space="preserve">Scénáře vývoje měsíční splátky pro různé délky splatnosti hypotéky znázorňuje tabulka č. 2. Z ní je patrné, že pokles hypotečních sazeb bezmála o </w:t>
      </w:r>
      <w:proofErr w:type="gramStart"/>
      <w:r w:rsidRPr="005B4E45">
        <w:rPr>
          <w:rFonts w:ascii="Calibri" w:hAnsi="Calibri" w:cs="Calibri"/>
          <w:sz w:val="22"/>
          <w:szCs w:val="22"/>
        </w:rPr>
        <w:t>0,3%</w:t>
      </w:r>
      <w:proofErr w:type="gramEnd"/>
      <w:r w:rsidRPr="005B4E45">
        <w:rPr>
          <w:rFonts w:ascii="Calibri" w:hAnsi="Calibri" w:cs="Calibri"/>
          <w:sz w:val="22"/>
          <w:szCs w:val="22"/>
        </w:rPr>
        <w:t xml:space="preserve"> bodu vůči jejich průměrné výši 5,07 % v roce 2024 přinesl, pro průměrnou velikost hypotéky při jejím obvyklém skoro 27letém splácení, snížení měsíční splátky o necelých 700 Kč na přibližně 21,7 tis. Kč. To je menší úspora než snížení splátky o více než 2400 Kč při úrokové sazbě 5,81 % v roce 2023 pro aktuální hodnotu průměrné nové hypotéky. Naopak, ve srovnání s průměrnou </w:t>
      </w:r>
      <w:proofErr w:type="gramStart"/>
      <w:r w:rsidRPr="005B4E45">
        <w:rPr>
          <w:rFonts w:ascii="Calibri" w:hAnsi="Calibri" w:cs="Calibri"/>
          <w:sz w:val="22"/>
          <w:szCs w:val="22"/>
        </w:rPr>
        <w:t>2,8%</w:t>
      </w:r>
      <w:proofErr w:type="gramEnd"/>
      <w:r w:rsidRPr="005B4E45">
        <w:rPr>
          <w:rFonts w:ascii="Calibri" w:hAnsi="Calibri" w:cs="Calibri"/>
          <w:sz w:val="22"/>
          <w:szCs w:val="22"/>
        </w:rPr>
        <w:t xml:space="preserve"> úrokovou hypoteční sazbou pro nové hypotéky v roce 2019, tak současná hypoteční sazba pro refinancování ve výši 4,73 % při zkrácení splatnosti úvěru zvedá měsíční splátk</w:t>
      </w:r>
      <w:r w:rsidR="001E4370">
        <w:rPr>
          <w:rFonts w:ascii="Calibri" w:hAnsi="Calibri" w:cs="Calibri"/>
          <w:sz w:val="22"/>
          <w:szCs w:val="22"/>
        </w:rPr>
        <w:t>u</w:t>
      </w:r>
      <w:r w:rsidRPr="005B4E45">
        <w:rPr>
          <w:rFonts w:ascii="Calibri" w:hAnsi="Calibri" w:cs="Calibri"/>
          <w:sz w:val="22"/>
          <w:szCs w:val="22"/>
        </w:rPr>
        <w:t xml:space="preserve"> u průměrné hypotéky přibližně o více než 5600 Kč. </w:t>
      </w:r>
      <w:r w:rsidRPr="005B4E45">
        <w:rPr>
          <w:rFonts w:ascii="Calibri" w:hAnsi="Calibri" w:cs="Calibri"/>
          <w:b/>
          <w:bCs/>
          <w:sz w:val="22"/>
          <w:szCs w:val="22"/>
        </w:rPr>
        <w:t>Splátka hypotéky ve výši jednoho milionu korun s 30letou splatností se se současnými úrokovými sazbami pohybuje okolo 5,2 tisíce Kč.</w:t>
      </w:r>
    </w:p>
    <w:bookmarkEnd w:id="6"/>
    <w:p w14:paraId="1A267256" w14:textId="45AF01D0" w:rsidR="009D3067" w:rsidRPr="00515ECA" w:rsidRDefault="009D3067" w:rsidP="007F41A0">
      <w:pPr>
        <w:overflowPunct/>
        <w:autoSpaceDE/>
        <w:autoSpaceDN/>
        <w:adjustRightInd/>
        <w:spacing w:after="160" w:line="259" w:lineRule="auto"/>
        <w:textAlignment w:val="auto"/>
        <w:rPr>
          <w:rFonts w:ascii="Calibri" w:hAnsi="Calibri" w:cs="Calibri"/>
          <w:b/>
          <w:color w:val="13576B"/>
          <w:sz w:val="23"/>
          <w:szCs w:val="23"/>
        </w:rPr>
      </w:pPr>
      <w:r w:rsidRPr="00515ECA">
        <w:rPr>
          <w:rFonts w:ascii="Calibri" w:hAnsi="Calibri" w:cs="Calibri"/>
          <w:b/>
          <w:color w:val="13576B"/>
          <w:sz w:val="23"/>
          <w:szCs w:val="23"/>
        </w:rPr>
        <w:t>Tabulka č. 2: Měsíční splátka průměrné hypotéky v závislosti na délce splatnosti a úrokové sazbě</w:t>
      </w:r>
    </w:p>
    <w:tbl>
      <w:tblPr>
        <w:tblW w:w="10160" w:type="dxa"/>
        <w:tblCellMar>
          <w:left w:w="70" w:type="dxa"/>
          <w:right w:w="70" w:type="dxa"/>
        </w:tblCellMar>
        <w:tblLook w:val="04A0" w:firstRow="1" w:lastRow="0" w:firstColumn="1" w:lastColumn="0" w:noHBand="0" w:noVBand="1"/>
      </w:tblPr>
      <w:tblGrid>
        <w:gridCol w:w="3969"/>
        <w:gridCol w:w="431"/>
        <w:gridCol w:w="960"/>
        <w:gridCol w:w="960"/>
        <w:gridCol w:w="960"/>
        <w:gridCol w:w="960"/>
        <w:gridCol w:w="960"/>
        <w:gridCol w:w="960"/>
      </w:tblGrid>
      <w:tr w:rsidR="00D5517C" w:rsidRPr="002138C0" w14:paraId="2E0F9EE8" w14:textId="77777777" w:rsidTr="008B2AC1">
        <w:trPr>
          <w:trHeight w:val="555"/>
        </w:trPr>
        <w:tc>
          <w:tcPr>
            <w:tcW w:w="4400" w:type="dxa"/>
            <w:gridSpan w:val="2"/>
            <w:tcBorders>
              <w:top w:val="nil"/>
              <w:left w:val="nil"/>
              <w:bottom w:val="single" w:sz="4" w:space="0" w:color="auto"/>
              <w:right w:val="nil"/>
            </w:tcBorders>
            <w:shd w:val="clear" w:color="auto" w:fill="auto"/>
            <w:noWrap/>
            <w:vAlign w:val="center"/>
            <w:hideMark/>
          </w:tcPr>
          <w:p w14:paraId="0EFE9691" w14:textId="77777777" w:rsidR="00D5517C" w:rsidRPr="00F23602"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velikost nové hypotéky v Kč:</w:t>
            </w:r>
          </w:p>
        </w:tc>
        <w:tc>
          <w:tcPr>
            <w:tcW w:w="960" w:type="dxa"/>
            <w:tcBorders>
              <w:top w:val="nil"/>
              <w:left w:val="nil"/>
              <w:bottom w:val="single" w:sz="4" w:space="0" w:color="auto"/>
              <w:right w:val="nil"/>
            </w:tcBorders>
            <w:shd w:val="clear" w:color="auto" w:fill="auto"/>
            <w:noWrap/>
            <w:vAlign w:val="center"/>
            <w:hideMark/>
          </w:tcPr>
          <w:p w14:paraId="57E2DFC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35B01B2E" w14:textId="294A28AB"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r w:rsidR="00700C93" w:rsidRPr="00F23602">
              <w:rPr>
                <w:rFonts w:ascii="Calibri" w:hAnsi="Calibri" w:cs="Calibri"/>
                <w:color w:val="000000"/>
                <w:sz w:val="22"/>
                <w:szCs w:val="22"/>
              </w:rPr>
              <w:t xml:space="preserve"> </w:t>
            </w:r>
          </w:p>
        </w:tc>
        <w:tc>
          <w:tcPr>
            <w:tcW w:w="3840" w:type="dxa"/>
            <w:gridSpan w:val="4"/>
            <w:tcBorders>
              <w:top w:val="nil"/>
              <w:left w:val="nil"/>
              <w:bottom w:val="single" w:sz="4" w:space="0" w:color="auto"/>
              <w:right w:val="nil"/>
            </w:tcBorders>
            <w:shd w:val="clear" w:color="auto" w:fill="auto"/>
            <w:noWrap/>
            <w:vAlign w:val="center"/>
            <w:hideMark/>
          </w:tcPr>
          <w:p w14:paraId="400F8289" w14:textId="4D996CB8" w:rsidR="00490505" w:rsidRPr="00F23602" w:rsidRDefault="00AF2306"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3 924 901</w:t>
            </w:r>
          </w:p>
        </w:tc>
      </w:tr>
      <w:tr w:rsidR="00F23602" w:rsidRPr="002138C0" w14:paraId="3A9D14C4"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284FFBA8"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Průměrná úroková sazba v %:</w:t>
            </w:r>
          </w:p>
        </w:tc>
        <w:tc>
          <w:tcPr>
            <w:tcW w:w="431" w:type="dxa"/>
            <w:tcBorders>
              <w:top w:val="nil"/>
              <w:left w:val="nil"/>
              <w:bottom w:val="single" w:sz="4" w:space="0" w:color="auto"/>
              <w:right w:val="nil"/>
            </w:tcBorders>
            <w:shd w:val="clear" w:color="auto" w:fill="auto"/>
            <w:noWrap/>
            <w:vAlign w:val="bottom"/>
            <w:hideMark/>
          </w:tcPr>
          <w:p w14:paraId="1F76198D" w14:textId="77777777" w:rsidR="00F23602" w:rsidRPr="00F23602" w:rsidRDefault="00F23602" w:rsidP="00F23602">
            <w:pPr>
              <w:overflowPunct/>
              <w:autoSpaceDE/>
              <w:autoSpaceDN/>
              <w:adjustRightInd/>
              <w:jc w:val="left"/>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10BEEE92" w14:textId="18F743FA"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2,0</w:t>
            </w:r>
          </w:p>
        </w:tc>
        <w:tc>
          <w:tcPr>
            <w:tcW w:w="960" w:type="dxa"/>
            <w:tcBorders>
              <w:top w:val="nil"/>
              <w:left w:val="nil"/>
              <w:bottom w:val="single" w:sz="4" w:space="0" w:color="auto"/>
              <w:right w:val="nil"/>
            </w:tcBorders>
            <w:shd w:val="clear" w:color="auto" w:fill="auto"/>
            <w:noWrap/>
            <w:vAlign w:val="center"/>
            <w:hideMark/>
          </w:tcPr>
          <w:p w14:paraId="07D3214C" w14:textId="1130DD68"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49B1144F" w14:textId="1E0730A6" w:rsidR="00F23602" w:rsidRPr="00F23602" w:rsidRDefault="00F23602" w:rsidP="00F23602">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4,0</w:t>
            </w:r>
          </w:p>
        </w:tc>
        <w:tc>
          <w:tcPr>
            <w:tcW w:w="960" w:type="dxa"/>
            <w:tcBorders>
              <w:top w:val="nil"/>
              <w:left w:val="nil"/>
              <w:bottom w:val="single" w:sz="4" w:space="0" w:color="auto"/>
              <w:right w:val="nil"/>
            </w:tcBorders>
            <w:shd w:val="clear" w:color="000000" w:fill="DAF3EA"/>
            <w:noWrap/>
            <w:vAlign w:val="center"/>
            <w:hideMark/>
          </w:tcPr>
          <w:p w14:paraId="29650147" w14:textId="5C3B181C"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4,</w:t>
            </w:r>
            <w:r w:rsidR="00AF2306">
              <w:rPr>
                <w:rFonts w:ascii="Calibri Light" w:hAnsi="Calibri Light" w:cs="Calibri Light"/>
                <w:b/>
                <w:bCs/>
                <w:color w:val="000000"/>
                <w:sz w:val="22"/>
                <w:szCs w:val="22"/>
              </w:rPr>
              <w:t>78</w:t>
            </w:r>
          </w:p>
        </w:tc>
        <w:tc>
          <w:tcPr>
            <w:tcW w:w="960" w:type="dxa"/>
            <w:tcBorders>
              <w:top w:val="nil"/>
              <w:left w:val="nil"/>
              <w:bottom w:val="single" w:sz="4" w:space="0" w:color="auto"/>
              <w:right w:val="nil"/>
            </w:tcBorders>
            <w:shd w:val="clear" w:color="000000" w:fill="FFFFFF" w:themeFill="background1"/>
            <w:noWrap/>
            <w:vAlign w:val="center"/>
            <w:hideMark/>
          </w:tcPr>
          <w:p w14:paraId="22EECDD2" w14:textId="49E02541"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5,0</w:t>
            </w:r>
          </w:p>
        </w:tc>
        <w:tc>
          <w:tcPr>
            <w:tcW w:w="960" w:type="dxa"/>
            <w:tcBorders>
              <w:top w:val="nil"/>
              <w:left w:val="nil"/>
              <w:bottom w:val="single" w:sz="4" w:space="0" w:color="auto"/>
              <w:right w:val="nil"/>
            </w:tcBorders>
            <w:shd w:val="clear" w:color="auto" w:fill="auto"/>
            <w:noWrap/>
            <w:vAlign w:val="center"/>
            <w:hideMark/>
          </w:tcPr>
          <w:p w14:paraId="3E5AC0A3" w14:textId="632AE5E6" w:rsidR="00F23602" w:rsidRPr="002138C0" w:rsidRDefault="00F23602" w:rsidP="00F23602">
            <w:pPr>
              <w:overflowPunct/>
              <w:autoSpaceDE/>
              <w:autoSpaceDN/>
              <w:adjustRightInd/>
              <w:jc w:val="center"/>
              <w:textAlignment w:val="auto"/>
              <w:rPr>
                <w:rFonts w:ascii="Calibri Light" w:hAnsi="Calibri Light" w:cs="Calibri Light"/>
                <w:b/>
                <w:bCs/>
                <w:color w:val="000000"/>
                <w:sz w:val="22"/>
                <w:szCs w:val="22"/>
                <w:highlight w:val="yellow"/>
              </w:rPr>
            </w:pPr>
            <w:r>
              <w:rPr>
                <w:rFonts w:ascii="Calibri Light" w:hAnsi="Calibri Light" w:cs="Calibri Light"/>
                <w:b/>
                <w:bCs/>
                <w:color w:val="000000"/>
                <w:sz w:val="22"/>
                <w:szCs w:val="22"/>
              </w:rPr>
              <w:t>6,0</w:t>
            </w:r>
          </w:p>
        </w:tc>
      </w:tr>
      <w:tr w:rsidR="00D5517C" w:rsidRPr="002138C0" w14:paraId="4905349F" w14:textId="77777777" w:rsidTr="00F45EB3">
        <w:trPr>
          <w:trHeight w:val="300"/>
        </w:trPr>
        <w:tc>
          <w:tcPr>
            <w:tcW w:w="3969" w:type="dxa"/>
            <w:tcBorders>
              <w:top w:val="nil"/>
              <w:left w:val="nil"/>
              <w:bottom w:val="nil"/>
              <w:right w:val="nil"/>
            </w:tcBorders>
            <w:shd w:val="clear" w:color="auto" w:fill="auto"/>
            <w:noWrap/>
            <w:vAlign w:val="bottom"/>
            <w:hideMark/>
          </w:tcPr>
          <w:p w14:paraId="37327E1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431" w:type="dxa"/>
            <w:tcBorders>
              <w:top w:val="nil"/>
              <w:left w:val="nil"/>
              <w:bottom w:val="nil"/>
              <w:right w:val="nil"/>
            </w:tcBorders>
            <w:shd w:val="clear" w:color="auto" w:fill="auto"/>
            <w:noWrap/>
            <w:vAlign w:val="bottom"/>
            <w:hideMark/>
          </w:tcPr>
          <w:p w14:paraId="271C1EDC"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D8A3FA"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E17A7A8" w14:textId="77777777" w:rsidR="00D5517C" w:rsidRPr="00F23602" w:rsidRDefault="00D5517C" w:rsidP="00D5517C">
            <w:pPr>
              <w:overflowPunct/>
              <w:autoSpaceDE/>
              <w:autoSpaceDN/>
              <w:adjustRightInd/>
              <w:jc w:val="left"/>
              <w:textAlignment w:val="auto"/>
              <w:rPr>
                <w:rFonts w:ascii="Calibri" w:hAnsi="Calibri" w:cs="Calibri"/>
                <w:color w:val="000000"/>
                <w:sz w:val="22"/>
                <w:szCs w:val="22"/>
              </w:rPr>
            </w:pPr>
            <w:r w:rsidRPr="00F23602">
              <w:rPr>
                <w:rFonts w:ascii="Calibri" w:hAnsi="Calibri" w:cs="Calibri"/>
                <w:color w:val="000000"/>
                <w:sz w:val="22"/>
                <w:szCs w:val="22"/>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F23602"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F23602">
              <w:rPr>
                <w:rFonts w:ascii="Calibri Light" w:hAnsi="Calibri Light" w:cs="Calibri Light"/>
                <w:b/>
                <w:bCs/>
                <w:color w:val="000000"/>
                <w:sz w:val="22"/>
                <w:szCs w:val="22"/>
              </w:rPr>
              <w:t>Měsíční splátka:</w:t>
            </w:r>
          </w:p>
        </w:tc>
      </w:tr>
      <w:tr w:rsidR="00AF2306" w:rsidRPr="002138C0" w14:paraId="0A342D01" w14:textId="77777777" w:rsidTr="005861DC">
        <w:trPr>
          <w:trHeight w:val="300"/>
        </w:trPr>
        <w:tc>
          <w:tcPr>
            <w:tcW w:w="3969" w:type="dxa"/>
            <w:tcBorders>
              <w:top w:val="nil"/>
              <w:left w:val="nil"/>
              <w:bottom w:val="nil"/>
              <w:right w:val="nil"/>
            </w:tcBorders>
            <w:shd w:val="clear" w:color="auto" w:fill="auto"/>
            <w:noWrap/>
            <w:vAlign w:val="bottom"/>
            <w:hideMark/>
          </w:tcPr>
          <w:p w14:paraId="67C08443" w14:textId="77777777" w:rsidR="00AF2306" w:rsidRPr="00F23602" w:rsidRDefault="00AF2306" w:rsidP="00AF2306">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Splatnost hypotéky v letech:</w:t>
            </w:r>
          </w:p>
        </w:tc>
        <w:tc>
          <w:tcPr>
            <w:tcW w:w="431" w:type="dxa"/>
            <w:tcBorders>
              <w:top w:val="nil"/>
              <w:left w:val="nil"/>
              <w:bottom w:val="nil"/>
              <w:right w:val="nil"/>
            </w:tcBorders>
            <w:shd w:val="clear" w:color="auto" w:fill="auto"/>
            <w:noWrap/>
            <w:vAlign w:val="bottom"/>
            <w:hideMark/>
          </w:tcPr>
          <w:p w14:paraId="5F9EE9A3"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15</w:t>
            </w:r>
          </w:p>
        </w:tc>
        <w:tc>
          <w:tcPr>
            <w:tcW w:w="960" w:type="dxa"/>
            <w:tcBorders>
              <w:top w:val="nil"/>
              <w:left w:val="nil"/>
              <w:bottom w:val="nil"/>
              <w:right w:val="nil"/>
            </w:tcBorders>
            <w:shd w:val="clear" w:color="auto" w:fill="auto"/>
            <w:noWrap/>
            <w:vAlign w:val="center"/>
            <w:hideMark/>
          </w:tcPr>
          <w:p w14:paraId="6E75F03F" w14:textId="58F26F94"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25 257</w:t>
            </w:r>
          </w:p>
        </w:tc>
        <w:tc>
          <w:tcPr>
            <w:tcW w:w="960" w:type="dxa"/>
            <w:tcBorders>
              <w:top w:val="nil"/>
              <w:left w:val="nil"/>
              <w:bottom w:val="nil"/>
              <w:right w:val="nil"/>
            </w:tcBorders>
            <w:shd w:val="clear" w:color="auto" w:fill="auto"/>
            <w:noWrap/>
            <w:vAlign w:val="center"/>
            <w:hideMark/>
          </w:tcPr>
          <w:p w14:paraId="3D8E9F84" w14:textId="4DFA150E"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27 105</w:t>
            </w:r>
          </w:p>
        </w:tc>
        <w:tc>
          <w:tcPr>
            <w:tcW w:w="960" w:type="dxa"/>
            <w:tcBorders>
              <w:top w:val="nil"/>
              <w:left w:val="nil"/>
              <w:bottom w:val="nil"/>
              <w:right w:val="nil"/>
            </w:tcBorders>
            <w:shd w:val="clear" w:color="auto" w:fill="auto"/>
            <w:noWrap/>
            <w:vAlign w:val="center"/>
            <w:hideMark/>
          </w:tcPr>
          <w:p w14:paraId="238A63E5" w14:textId="30B5B69F"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29 032</w:t>
            </w:r>
          </w:p>
        </w:tc>
        <w:tc>
          <w:tcPr>
            <w:tcW w:w="960" w:type="dxa"/>
            <w:tcBorders>
              <w:top w:val="nil"/>
              <w:left w:val="nil"/>
              <w:bottom w:val="nil"/>
              <w:right w:val="nil"/>
            </w:tcBorders>
            <w:shd w:val="clear" w:color="auto" w:fill="DAF3EA"/>
            <w:noWrap/>
            <w:vAlign w:val="center"/>
            <w:hideMark/>
          </w:tcPr>
          <w:p w14:paraId="0F2712F9" w14:textId="1526B30C" w:rsidR="00AF2306" w:rsidRPr="002138C0" w:rsidRDefault="00AF2306" w:rsidP="00AF2306">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30 587</w:t>
            </w:r>
          </w:p>
        </w:tc>
        <w:tc>
          <w:tcPr>
            <w:tcW w:w="960" w:type="dxa"/>
            <w:tcBorders>
              <w:top w:val="nil"/>
              <w:left w:val="nil"/>
              <w:bottom w:val="nil"/>
              <w:right w:val="nil"/>
            </w:tcBorders>
            <w:shd w:val="clear" w:color="000000" w:fill="FFFFFF" w:themeFill="background1"/>
            <w:noWrap/>
            <w:vAlign w:val="center"/>
            <w:hideMark/>
          </w:tcPr>
          <w:p w14:paraId="690F9892" w14:textId="54020CD0"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31 038</w:t>
            </w:r>
          </w:p>
        </w:tc>
        <w:tc>
          <w:tcPr>
            <w:tcW w:w="960" w:type="dxa"/>
            <w:tcBorders>
              <w:top w:val="nil"/>
              <w:left w:val="nil"/>
              <w:bottom w:val="nil"/>
              <w:right w:val="nil"/>
            </w:tcBorders>
            <w:shd w:val="clear" w:color="auto" w:fill="auto"/>
            <w:noWrap/>
            <w:vAlign w:val="center"/>
            <w:hideMark/>
          </w:tcPr>
          <w:p w14:paraId="165D0922" w14:textId="72B0B729"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33 121</w:t>
            </w:r>
          </w:p>
        </w:tc>
      </w:tr>
      <w:tr w:rsidR="00AF2306" w:rsidRPr="002138C0" w14:paraId="4A78BEF2" w14:textId="77777777" w:rsidTr="005861DC">
        <w:trPr>
          <w:trHeight w:val="300"/>
        </w:trPr>
        <w:tc>
          <w:tcPr>
            <w:tcW w:w="3969" w:type="dxa"/>
            <w:tcBorders>
              <w:top w:val="nil"/>
              <w:left w:val="nil"/>
              <w:bottom w:val="nil"/>
              <w:right w:val="nil"/>
            </w:tcBorders>
            <w:shd w:val="clear" w:color="auto" w:fill="auto"/>
            <w:noWrap/>
            <w:vAlign w:val="bottom"/>
            <w:hideMark/>
          </w:tcPr>
          <w:p w14:paraId="0EAF3610"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72B9CE37"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20</w:t>
            </w:r>
          </w:p>
        </w:tc>
        <w:tc>
          <w:tcPr>
            <w:tcW w:w="960" w:type="dxa"/>
            <w:tcBorders>
              <w:top w:val="nil"/>
              <w:left w:val="nil"/>
              <w:bottom w:val="nil"/>
              <w:right w:val="nil"/>
            </w:tcBorders>
            <w:shd w:val="clear" w:color="auto" w:fill="auto"/>
            <w:noWrap/>
            <w:vAlign w:val="center"/>
            <w:hideMark/>
          </w:tcPr>
          <w:p w14:paraId="5D28FBFB" w14:textId="5363C797"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19 855</w:t>
            </w:r>
          </w:p>
        </w:tc>
        <w:tc>
          <w:tcPr>
            <w:tcW w:w="960" w:type="dxa"/>
            <w:tcBorders>
              <w:top w:val="nil"/>
              <w:left w:val="nil"/>
              <w:bottom w:val="nil"/>
              <w:right w:val="nil"/>
            </w:tcBorders>
            <w:shd w:val="clear" w:color="auto" w:fill="auto"/>
            <w:noWrap/>
            <w:vAlign w:val="center"/>
            <w:hideMark/>
          </w:tcPr>
          <w:p w14:paraId="0857AA86" w14:textId="57D935C1"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21 767</w:t>
            </w:r>
          </w:p>
        </w:tc>
        <w:tc>
          <w:tcPr>
            <w:tcW w:w="960" w:type="dxa"/>
            <w:tcBorders>
              <w:top w:val="nil"/>
              <w:left w:val="nil"/>
              <w:bottom w:val="nil"/>
              <w:right w:val="nil"/>
            </w:tcBorders>
            <w:shd w:val="clear" w:color="auto" w:fill="auto"/>
            <w:noWrap/>
            <w:vAlign w:val="center"/>
            <w:hideMark/>
          </w:tcPr>
          <w:p w14:paraId="26357E18" w14:textId="10ABA942"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23 784</w:t>
            </w:r>
          </w:p>
        </w:tc>
        <w:tc>
          <w:tcPr>
            <w:tcW w:w="960" w:type="dxa"/>
            <w:tcBorders>
              <w:top w:val="nil"/>
              <w:left w:val="nil"/>
              <w:bottom w:val="nil"/>
              <w:right w:val="nil"/>
            </w:tcBorders>
            <w:shd w:val="clear" w:color="auto" w:fill="DAF3EA"/>
            <w:noWrap/>
            <w:vAlign w:val="center"/>
            <w:hideMark/>
          </w:tcPr>
          <w:p w14:paraId="6D332706" w14:textId="396E9B9A" w:rsidR="00AF2306" w:rsidRPr="002138C0" w:rsidRDefault="00AF2306" w:rsidP="00AF2306">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25 425</w:t>
            </w:r>
          </w:p>
        </w:tc>
        <w:tc>
          <w:tcPr>
            <w:tcW w:w="960" w:type="dxa"/>
            <w:tcBorders>
              <w:top w:val="nil"/>
              <w:left w:val="nil"/>
              <w:bottom w:val="nil"/>
              <w:right w:val="nil"/>
            </w:tcBorders>
            <w:shd w:val="clear" w:color="000000" w:fill="FFFFFF" w:themeFill="background1"/>
            <w:noWrap/>
            <w:vAlign w:val="center"/>
            <w:hideMark/>
          </w:tcPr>
          <w:p w14:paraId="5E6CF5E2" w14:textId="312882A4"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25 903</w:t>
            </w:r>
          </w:p>
        </w:tc>
        <w:tc>
          <w:tcPr>
            <w:tcW w:w="960" w:type="dxa"/>
            <w:tcBorders>
              <w:top w:val="nil"/>
              <w:left w:val="nil"/>
              <w:bottom w:val="nil"/>
              <w:right w:val="nil"/>
            </w:tcBorders>
            <w:shd w:val="clear" w:color="auto" w:fill="auto"/>
            <w:noWrap/>
            <w:vAlign w:val="center"/>
            <w:hideMark/>
          </w:tcPr>
          <w:p w14:paraId="1521BDBD" w14:textId="04440A34"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28 119</w:t>
            </w:r>
          </w:p>
        </w:tc>
      </w:tr>
      <w:tr w:rsidR="00AF2306" w:rsidRPr="002138C0" w14:paraId="6CF32913" w14:textId="77777777" w:rsidTr="005861DC">
        <w:trPr>
          <w:trHeight w:val="300"/>
        </w:trPr>
        <w:tc>
          <w:tcPr>
            <w:tcW w:w="3969" w:type="dxa"/>
            <w:tcBorders>
              <w:top w:val="nil"/>
              <w:left w:val="nil"/>
              <w:bottom w:val="nil"/>
              <w:right w:val="nil"/>
            </w:tcBorders>
            <w:shd w:val="clear" w:color="auto" w:fill="auto"/>
            <w:noWrap/>
            <w:vAlign w:val="bottom"/>
            <w:hideMark/>
          </w:tcPr>
          <w:p w14:paraId="1542281A"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26092D49"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25</w:t>
            </w:r>
          </w:p>
        </w:tc>
        <w:tc>
          <w:tcPr>
            <w:tcW w:w="960" w:type="dxa"/>
            <w:tcBorders>
              <w:top w:val="nil"/>
              <w:left w:val="nil"/>
              <w:bottom w:val="nil"/>
              <w:right w:val="nil"/>
            </w:tcBorders>
            <w:shd w:val="clear" w:color="auto" w:fill="auto"/>
            <w:noWrap/>
            <w:vAlign w:val="center"/>
            <w:hideMark/>
          </w:tcPr>
          <w:p w14:paraId="491B1A11" w14:textId="063F9123"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16 636</w:t>
            </w:r>
          </w:p>
        </w:tc>
        <w:tc>
          <w:tcPr>
            <w:tcW w:w="960" w:type="dxa"/>
            <w:tcBorders>
              <w:top w:val="nil"/>
              <w:left w:val="nil"/>
              <w:bottom w:val="nil"/>
              <w:right w:val="nil"/>
            </w:tcBorders>
            <w:shd w:val="clear" w:color="auto" w:fill="auto"/>
            <w:noWrap/>
            <w:vAlign w:val="center"/>
            <w:hideMark/>
          </w:tcPr>
          <w:p w14:paraId="2FC3E222" w14:textId="1DE2BED7"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18 612</w:t>
            </w:r>
          </w:p>
        </w:tc>
        <w:tc>
          <w:tcPr>
            <w:tcW w:w="960" w:type="dxa"/>
            <w:tcBorders>
              <w:top w:val="nil"/>
              <w:left w:val="nil"/>
              <w:bottom w:val="nil"/>
              <w:right w:val="nil"/>
            </w:tcBorders>
            <w:shd w:val="clear" w:color="auto" w:fill="auto"/>
            <w:noWrap/>
            <w:vAlign w:val="center"/>
            <w:hideMark/>
          </w:tcPr>
          <w:p w14:paraId="08C6F1AB" w14:textId="460822C4"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20 717</w:t>
            </w:r>
          </w:p>
        </w:tc>
        <w:tc>
          <w:tcPr>
            <w:tcW w:w="960" w:type="dxa"/>
            <w:tcBorders>
              <w:top w:val="nil"/>
              <w:left w:val="nil"/>
              <w:bottom w:val="nil"/>
              <w:right w:val="nil"/>
            </w:tcBorders>
            <w:shd w:val="clear" w:color="auto" w:fill="DAF3EA"/>
            <w:noWrap/>
            <w:vAlign w:val="center"/>
            <w:hideMark/>
          </w:tcPr>
          <w:p w14:paraId="5331F341" w14:textId="176F34A8" w:rsidR="00AF2306" w:rsidRPr="002138C0" w:rsidRDefault="00AF2306" w:rsidP="00AF2306">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22 441</w:t>
            </w:r>
          </w:p>
        </w:tc>
        <w:tc>
          <w:tcPr>
            <w:tcW w:w="960" w:type="dxa"/>
            <w:tcBorders>
              <w:top w:val="nil"/>
              <w:left w:val="nil"/>
              <w:bottom w:val="nil"/>
              <w:right w:val="nil"/>
            </w:tcBorders>
            <w:shd w:val="clear" w:color="000000" w:fill="FFFFFF" w:themeFill="background1"/>
            <w:noWrap/>
            <w:vAlign w:val="center"/>
            <w:hideMark/>
          </w:tcPr>
          <w:p w14:paraId="3E4DDF0D" w14:textId="64467058"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22 945</w:t>
            </w:r>
          </w:p>
        </w:tc>
        <w:tc>
          <w:tcPr>
            <w:tcW w:w="960" w:type="dxa"/>
            <w:tcBorders>
              <w:top w:val="nil"/>
              <w:left w:val="nil"/>
              <w:bottom w:val="nil"/>
              <w:right w:val="nil"/>
            </w:tcBorders>
            <w:shd w:val="clear" w:color="auto" w:fill="auto"/>
            <w:noWrap/>
            <w:vAlign w:val="center"/>
            <w:hideMark/>
          </w:tcPr>
          <w:p w14:paraId="4C72D8C7" w14:textId="1E53BC18"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25 288</w:t>
            </w:r>
          </w:p>
        </w:tc>
      </w:tr>
      <w:tr w:rsidR="00AF2306" w:rsidRPr="002138C0" w14:paraId="46B86678"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477BB57D" w14:textId="77777777" w:rsidR="00AF2306" w:rsidRPr="00F23602" w:rsidRDefault="00AF2306" w:rsidP="00AF2306">
            <w:pPr>
              <w:overflowPunct/>
              <w:autoSpaceDE/>
              <w:autoSpaceDN/>
              <w:adjustRightInd/>
              <w:jc w:val="left"/>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 </w:t>
            </w:r>
          </w:p>
        </w:tc>
        <w:tc>
          <w:tcPr>
            <w:tcW w:w="431" w:type="dxa"/>
            <w:tcBorders>
              <w:top w:val="nil"/>
              <w:left w:val="nil"/>
              <w:bottom w:val="single" w:sz="4" w:space="0" w:color="auto"/>
              <w:right w:val="nil"/>
            </w:tcBorders>
            <w:shd w:val="clear" w:color="auto" w:fill="auto"/>
            <w:noWrap/>
            <w:vAlign w:val="bottom"/>
            <w:hideMark/>
          </w:tcPr>
          <w:p w14:paraId="6FEE525A" w14:textId="77777777" w:rsidR="00AF2306" w:rsidRPr="00F23602" w:rsidRDefault="00AF2306" w:rsidP="00AF2306">
            <w:pPr>
              <w:overflowPunct/>
              <w:autoSpaceDE/>
              <w:autoSpaceDN/>
              <w:adjustRightInd/>
              <w:jc w:val="center"/>
              <w:textAlignment w:val="auto"/>
              <w:rPr>
                <w:rFonts w:ascii="Calibri Light" w:hAnsi="Calibri Light" w:cs="Calibri Light"/>
                <w:color w:val="000000"/>
                <w:sz w:val="22"/>
                <w:szCs w:val="22"/>
              </w:rPr>
            </w:pPr>
            <w:r w:rsidRPr="00F23602">
              <w:rPr>
                <w:rFonts w:ascii="Calibri Light" w:hAnsi="Calibri Light" w:cs="Calibri Light"/>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24DA2DA6" w14:textId="45E5CD61"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14 507</w:t>
            </w:r>
          </w:p>
        </w:tc>
        <w:tc>
          <w:tcPr>
            <w:tcW w:w="960" w:type="dxa"/>
            <w:tcBorders>
              <w:top w:val="nil"/>
              <w:left w:val="nil"/>
              <w:bottom w:val="single" w:sz="4" w:space="0" w:color="auto"/>
              <w:right w:val="nil"/>
            </w:tcBorders>
            <w:shd w:val="clear" w:color="auto" w:fill="auto"/>
            <w:noWrap/>
            <w:vAlign w:val="center"/>
            <w:hideMark/>
          </w:tcPr>
          <w:p w14:paraId="611602F5" w14:textId="03F9E03B"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16 548</w:t>
            </w:r>
          </w:p>
        </w:tc>
        <w:tc>
          <w:tcPr>
            <w:tcW w:w="960" w:type="dxa"/>
            <w:tcBorders>
              <w:top w:val="nil"/>
              <w:left w:val="nil"/>
              <w:bottom w:val="single" w:sz="4" w:space="0" w:color="auto"/>
              <w:right w:val="nil"/>
            </w:tcBorders>
            <w:shd w:val="clear" w:color="auto" w:fill="auto"/>
            <w:noWrap/>
            <w:vAlign w:val="center"/>
            <w:hideMark/>
          </w:tcPr>
          <w:p w14:paraId="247C600D" w14:textId="5EDEB501" w:rsidR="00AF2306" w:rsidRPr="00F23602" w:rsidRDefault="00AF2306" w:rsidP="00AF2306">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18 738</w:t>
            </w:r>
          </w:p>
        </w:tc>
        <w:tc>
          <w:tcPr>
            <w:tcW w:w="960" w:type="dxa"/>
            <w:tcBorders>
              <w:top w:val="nil"/>
              <w:left w:val="nil"/>
              <w:bottom w:val="single" w:sz="4" w:space="0" w:color="auto"/>
              <w:right w:val="nil"/>
            </w:tcBorders>
            <w:shd w:val="clear" w:color="auto" w:fill="DAF3EA"/>
            <w:noWrap/>
            <w:vAlign w:val="center"/>
            <w:hideMark/>
          </w:tcPr>
          <w:p w14:paraId="527D8D8A" w14:textId="51C068C0" w:rsidR="00AF2306" w:rsidRPr="002138C0" w:rsidRDefault="00AF2306" w:rsidP="00AF2306">
            <w:pPr>
              <w:overflowPunct/>
              <w:autoSpaceDE/>
              <w:autoSpaceDN/>
              <w:adjustRightInd/>
              <w:jc w:val="center"/>
              <w:textAlignment w:val="auto"/>
              <w:rPr>
                <w:rFonts w:ascii="Calibri Light" w:hAnsi="Calibri Light" w:cs="Calibri Light"/>
                <w:color w:val="000000"/>
                <w:sz w:val="22"/>
                <w:szCs w:val="22"/>
                <w:highlight w:val="yellow"/>
              </w:rPr>
            </w:pPr>
            <w:r>
              <w:rPr>
                <w:rFonts w:ascii="Calibri Light" w:hAnsi="Calibri Light" w:cs="Calibri Light"/>
                <w:color w:val="000000"/>
                <w:sz w:val="22"/>
                <w:szCs w:val="22"/>
              </w:rPr>
              <w:t>20 541</w:t>
            </w:r>
          </w:p>
        </w:tc>
        <w:tc>
          <w:tcPr>
            <w:tcW w:w="960" w:type="dxa"/>
            <w:tcBorders>
              <w:top w:val="nil"/>
              <w:left w:val="nil"/>
              <w:bottom w:val="single" w:sz="4" w:space="0" w:color="auto"/>
              <w:right w:val="nil"/>
            </w:tcBorders>
            <w:shd w:val="clear" w:color="000000" w:fill="FFFFFF" w:themeFill="background1"/>
            <w:noWrap/>
            <w:vAlign w:val="center"/>
            <w:hideMark/>
          </w:tcPr>
          <w:p w14:paraId="35ABD787" w14:textId="7BD85BF9"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21 070</w:t>
            </w:r>
          </w:p>
        </w:tc>
        <w:tc>
          <w:tcPr>
            <w:tcW w:w="960" w:type="dxa"/>
            <w:tcBorders>
              <w:top w:val="nil"/>
              <w:left w:val="nil"/>
              <w:bottom w:val="single" w:sz="4" w:space="0" w:color="auto"/>
              <w:right w:val="nil"/>
            </w:tcBorders>
            <w:shd w:val="clear" w:color="auto" w:fill="auto"/>
            <w:noWrap/>
            <w:vAlign w:val="center"/>
            <w:hideMark/>
          </w:tcPr>
          <w:p w14:paraId="1C781B34" w14:textId="4FA0FC0F" w:rsidR="00AF2306" w:rsidRPr="002138C0" w:rsidRDefault="00AF2306" w:rsidP="00AF2306">
            <w:pPr>
              <w:overflowPunct/>
              <w:autoSpaceDE/>
              <w:autoSpaceDN/>
              <w:adjustRightInd/>
              <w:jc w:val="center"/>
              <w:textAlignment w:val="auto"/>
              <w:rPr>
                <w:rFonts w:asciiTheme="majorHAnsi" w:hAnsiTheme="majorHAnsi" w:cstheme="majorHAnsi"/>
                <w:color w:val="000000"/>
                <w:sz w:val="22"/>
                <w:szCs w:val="22"/>
                <w:highlight w:val="yellow"/>
              </w:rPr>
            </w:pPr>
            <w:r>
              <w:rPr>
                <w:rFonts w:ascii="Calibri Light" w:hAnsi="Calibri Light" w:cs="Calibri Light"/>
                <w:color w:val="000000"/>
                <w:sz w:val="22"/>
                <w:szCs w:val="22"/>
              </w:rPr>
              <w:t>23 532</w:t>
            </w:r>
          </w:p>
        </w:tc>
      </w:tr>
      <w:tr w:rsidR="00D5517C" w:rsidRPr="002138C0" w14:paraId="58395EC8" w14:textId="77777777" w:rsidTr="00F45EB3">
        <w:trPr>
          <w:trHeight w:val="300"/>
        </w:trPr>
        <w:tc>
          <w:tcPr>
            <w:tcW w:w="3969" w:type="dxa"/>
            <w:tcBorders>
              <w:top w:val="nil"/>
              <w:left w:val="nil"/>
              <w:bottom w:val="nil"/>
              <w:right w:val="nil"/>
            </w:tcBorders>
            <w:shd w:val="clear" w:color="auto" w:fill="auto"/>
            <w:noWrap/>
            <w:vAlign w:val="bottom"/>
            <w:hideMark/>
          </w:tcPr>
          <w:p w14:paraId="2B3FD57F" w14:textId="5396F87E" w:rsidR="00D5517C" w:rsidRPr="00F23602" w:rsidRDefault="00D5517C" w:rsidP="00D5517C">
            <w:pPr>
              <w:overflowPunct/>
              <w:autoSpaceDE/>
              <w:autoSpaceDN/>
              <w:adjustRightInd/>
              <w:jc w:val="left"/>
              <w:textAlignment w:val="auto"/>
              <w:rPr>
                <w:rFonts w:ascii="Calibri" w:hAnsi="Calibri" w:cs="Calibri"/>
                <w:color w:val="13576B"/>
                <w:sz w:val="22"/>
                <w:szCs w:val="22"/>
              </w:rPr>
            </w:pPr>
            <w:r w:rsidRPr="00952AEF">
              <w:rPr>
                <w:rFonts w:ascii="Calibri" w:hAnsi="Calibri" w:cs="Calibri"/>
                <w:color w:val="2F5496" w:themeColor="accent5" w:themeShade="BF"/>
                <w:sz w:val="22"/>
                <w:szCs w:val="22"/>
              </w:rPr>
              <w:t>Pramen</w:t>
            </w:r>
            <w:r w:rsidRPr="00F23602">
              <w:rPr>
                <w:rFonts w:ascii="Calibri" w:hAnsi="Calibri" w:cs="Calibri"/>
                <w:color w:val="13576B"/>
                <w:sz w:val="22"/>
                <w:szCs w:val="22"/>
              </w:rPr>
              <w:t>: ČBA</w:t>
            </w:r>
            <w:r w:rsidR="00952AEF">
              <w:rPr>
                <w:rFonts w:ascii="Calibri" w:hAnsi="Calibri" w:cs="Calibri"/>
                <w:color w:val="13576B"/>
                <w:sz w:val="22"/>
                <w:szCs w:val="22"/>
              </w:rPr>
              <w:t xml:space="preserve"> </w:t>
            </w:r>
            <w:r w:rsidR="00952AEF" w:rsidRPr="00952AEF">
              <w:rPr>
                <w:rStyle w:val="Znakapoznpodarou"/>
                <w:rFonts w:ascii="Calibri" w:hAnsi="Calibri" w:cs="Calibri"/>
                <w:color w:val="2F5496" w:themeColor="accent5" w:themeShade="BF"/>
                <w:sz w:val="22"/>
                <w:szCs w:val="22"/>
              </w:rPr>
              <w:footnoteReference w:id="2"/>
            </w:r>
          </w:p>
        </w:tc>
        <w:tc>
          <w:tcPr>
            <w:tcW w:w="431" w:type="dxa"/>
            <w:tcBorders>
              <w:top w:val="nil"/>
              <w:left w:val="nil"/>
              <w:bottom w:val="nil"/>
              <w:right w:val="nil"/>
            </w:tcBorders>
            <w:shd w:val="clear" w:color="auto" w:fill="auto"/>
            <w:noWrap/>
            <w:vAlign w:val="bottom"/>
            <w:hideMark/>
          </w:tcPr>
          <w:p w14:paraId="4AEE430D" w14:textId="77777777" w:rsidR="00D5517C" w:rsidRPr="00F23602" w:rsidRDefault="00D5517C" w:rsidP="00D5517C">
            <w:pPr>
              <w:overflowPunct/>
              <w:autoSpaceDE/>
              <w:autoSpaceDN/>
              <w:adjustRightInd/>
              <w:jc w:val="left"/>
              <w:textAlignment w:val="auto"/>
              <w:rPr>
                <w:rFonts w:ascii="Calibri" w:hAnsi="Calibri" w:cs="Calibri"/>
                <w:color w:val="13576B"/>
                <w:sz w:val="22"/>
                <w:szCs w:val="22"/>
              </w:rPr>
            </w:pPr>
          </w:p>
        </w:tc>
        <w:tc>
          <w:tcPr>
            <w:tcW w:w="960" w:type="dxa"/>
            <w:tcBorders>
              <w:top w:val="nil"/>
              <w:left w:val="nil"/>
              <w:bottom w:val="nil"/>
              <w:right w:val="nil"/>
            </w:tcBorders>
            <w:shd w:val="clear" w:color="auto" w:fill="auto"/>
            <w:noWrap/>
            <w:vAlign w:val="bottom"/>
            <w:hideMark/>
          </w:tcPr>
          <w:p w14:paraId="318F225D" w14:textId="77777777" w:rsidR="00D5517C" w:rsidRPr="00F23602"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B261F0D" w14:textId="77777777" w:rsidR="00D5517C" w:rsidRPr="00F23602"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0822AAF" w14:textId="77777777" w:rsidR="00D5517C" w:rsidRPr="00F23602"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CAC6A2A" w14:textId="77777777" w:rsidR="00D5517C" w:rsidRPr="002138C0" w:rsidRDefault="00D5517C" w:rsidP="00483136">
            <w:pPr>
              <w:overflowPunct/>
              <w:autoSpaceDE/>
              <w:autoSpaceDN/>
              <w:adjustRightInd/>
              <w:jc w:val="center"/>
              <w:textAlignment w:val="auto"/>
              <w:rPr>
                <w:rFonts w:ascii="Calibri Light" w:hAnsi="Calibri Light" w:cs="Calibri Light"/>
                <w:color w:val="000000"/>
                <w:sz w:val="22"/>
                <w:szCs w:val="22"/>
                <w:highlight w:val="yellow"/>
              </w:rPr>
            </w:pPr>
          </w:p>
        </w:tc>
        <w:tc>
          <w:tcPr>
            <w:tcW w:w="960" w:type="dxa"/>
            <w:tcBorders>
              <w:top w:val="nil"/>
              <w:left w:val="nil"/>
              <w:bottom w:val="nil"/>
              <w:right w:val="nil"/>
            </w:tcBorders>
            <w:shd w:val="clear" w:color="auto" w:fill="auto"/>
            <w:noWrap/>
            <w:vAlign w:val="bottom"/>
            <w:hideMark/>
          </w:tcPr>
          <w:p w14:paraId="7D71D15A" w14:textId="77777777" w:rsidR="00D5517C" w:rsidRPr="002138C0" w:rsidRDefault="00D5517C" w:rsidP="00D5517C">
            <w:pPr>
              <w:overflowPunct/>
              <w:autoSpaceDE/>
              <w:autoSpaceDN/>
              <w:adjustRightInd/>
              <w:jc w:val="left"/>
              <w:textAlignment w:val="auto"/>
              <w:rPr>
                <w:rFonts w:ascii="Times New Roman" w:hAnsi="Times New Roman"/>
                <w:sz w:val="20"/>
                <w:highlight w:val="yellow"/>
              </w:rPr>
            </w:pPr>
          </w:p>
        </w:tc>
        <w:tc>
          <w:tcPr>
            <w:tcW w:w="960" w:type="dxa"/>
            <w:tcBorders>
              <w:top w:val="nil"/>
              <w:left w:val="nil"/>
              <w:bottom w:val="nil"/>
              <w:right w:val="nil"/>
            </w:tcBorders>
            <w:shd w:val="clear" w:color="auto" w:fill="auto"/>
            <w:noWrap/>
            <w:vAlign w:val="bottom"/>
            <w:hideMark/>
          </w:tcPr>
          <w:p w14:paraId="127972E4" w14:textId="77777777" w:rsidR="00D5517C" w:rsidRPr="002138C0" w:rsidRDefault="00D5517C" w:rsidP="00D5517C">
            <w:pPr>
              <w:overflowPunct/>
              <w:autoSpaceDE/>
              <w:autoSpaceDN/>
              <w:adjustRightInd/>
              <w:jc w:val="left"/>
              <w:textAlignment w:val="auto"/>
              <w:rPr>
                <w:rFonts w:ascii="Times New Roman" w:hAnsi="Times New Roman"/>
                <w:sz w:val="20"/>
                <w:highlight w:val="yellow"/>
              </w:rPr>
            </w:pPr>
          </w:p>
        </w:tc>
      </w:tr>
      <w:tr w:rsidR="00D5517C" w:rsidRPr="002138C0" w14:paraId="17E5FF51" w14:textId="77777777" w:rsidTr="008B2AC1">
        <w:trPr>
          <w:trHeight w:val="300"/>
        </w:trPr>
        <w:tc>
          <w:tcPr>
            <w:tcW w:w="10160" w:type="dxa"/>
            <w:gridSpan w:val="8"/>
            <w:tcBorders>
              <w:top w:val="nil"/>
              <w:left w:val="nil"/>
              <w:bottom w:val="nil"/>
              <w:right w:val="nil"/>
            </w:tcBorders>
            <w:shd w:val="clear" w:color="auto" w:fill="auto"/>
            <w:noWrap/>
            <w:vAlign w:val="bottom"/>
            <w:hideMark/>
          </w:tcPr>
          <w:p w14:paraId="2BF60336" w14:textId="77777777" w:rsidR="00D5517C" w:rsidRPr="00F23602" w:rsidRDefault="00D5517C" w:rsidP="00D5517C">
            <w:pPr>
              <w:overflowPunct/>
              <w:autoSpaceDE/>
              <w:autoSpaceDN/>
              <w:adjustRightInd/>
              <w:jc w:val="left"/>
              <w:textAlignment w:val="auto"/>
              <w:rPr>
                <w:rFonts w:ascii="Calibri" w:hAnsi="Calibri" w:cs="Calibri"/>
                <w:color w:val="13576B"/>
                <w:sz w:val="22"/>
                <w:szCs w:val="22"/>
              </w:rPr>
            </w:pPr>
            <w:r w:rsidRPr="00F23602">
              <w:rPr>
                <w:rFonts w:ascii="Calibri" w:hAnsi="Calibri" w:cs="Calibri"/>
                <w:color w:val="13576B"/>
                <w:sz w:val="22"/>
                <w:szCs w:val="22"/>
              </w:rPr>
              <w:t>Pozn.: barevný sloupec odpovídá úrokové sazbě posledního ČBA Hypomonitoru, ostatní sazby jsou ilustrační</w:t>
            </w:r>
          </w:p>
        </w:tc>
      </w:tr>
    </w:tbl>
    <w:p w14:paraId="7D566DD6" w14:textId="36D98E28" w:rsidR="00B44209" w:rsidRPr="002138C0" w:rsidRDefault="00B44209">
      <w:pPr>
        <w:overflowPunct/>
        <w:autoSpaceDE/>
        <w:autoSpaceDN/>
        <w:adjustRightInd/>
        <w:spacing w:after="160" w:line="259" w:lineRule="auto"/>
        <w:jc w:val="left"/>
        <w:textAlignment w:val="auto"/>
        <w:rPr>
          <w:rFonts w:ascii="Calibri" w:hAnsi="Calibri" w:cs="Calibri"/>
          <w:b/>
          <w:color w:val="13576B"/>
          <w:sz w:val="24"/>
          <w:szCs w:val="24"/>
          <w:highlight w:val="yellow"/>
        </w:rPr>
      </w:pPr>
    </w:p>
    <w:p w14:paraId="0D5FBC63" w14:textId="77777777" w:rsidR="002A5D11" w:rsidRPr="002A5D11" w:rsidRDefault="002A5D11" w:rsidP="002A5D11">
      <w:pPr>
        <w:rPr>
          <w:rFonts w:ascii="Calibri" w:hAnsi="Calibri" w:cs="Calibri"/>
          <w:b/>
          <w:color w:val="13576B"/>
          <w:sz w:val="24"/>
          <w:szCs w:val="24"/>
        </w:rPr>
      </w:pPr>
      <w:r w:rsidRPr="002A5D11">
        <w:rPr>
          <w:rFonts w:ascii="Calibri" w:hAnsi="Calibri" w:cs="Calibri"/>
          <w:b/>
          <w:color w:val="13576B"/>
          <w:sz w:val="24"/>
          <w:szCs w:val="24"/>
        </w:rPr>
        <w:t>Hypoteční trh v roce 2024: Rekordní růst o 83 %</w:t>
      </w:r>
    </w:p>
    <w:p w14:paraId="4743E758" w14:textId="77777777" w:rsidR="001002CD" w:rsidRPr="00840F7C" w:rsidRDefault="001002CD" w:rsidP="003E393C">
      <w:pPr>
        <w:rPr>
          <w:rFonts w:ascii="Calibri" w:hAnsi="Calibri" w:cs="Calibri"/>
          <w:b/>
          <w:bCs/>
          <w:sz w:val="22"/>
          <w:szCs w:val="22"/>
        </w:rPr>
      </w:pPr>
    </w:p>
    <w:p w14:paraId="2BEF2B35" w14:textId="036FD876" w:rsidR="003E393C" w:rsidRPr="002138C0" w:rsidRDefault="001002CD" w:rsidP="003E393C">
      <w:pPr>
        <w:rPr>
          <w:rFonts w:ascii="Calibri" w:hAnsi="Calibri" w:cs="Calibri"/>
          <w:b/>
          <w:color w:val="13576B"/>
          <w:sz w:val="23"/>
          <w:szCs w:val="23"/>
          <w:highlight w:val="yellow"/>
        </w:rPr>
      </w:pPr>
      <w:r w:rsidRPr="00840F7C">
        <w:rPr>
          <w:rFonts w:ascii="Calibri" w:hAnsi="Calibri" w:cs="Calibri"/>
          <w:b/>
          <w:bCs/>
          <w:color w:val="000000" w:themeColor="text1"/>
          <w:sz w:val="22"/>
          <w:szCs w:val="22"/>
        </w:rPr>
        <w:t xml:space="preserve">Za celý rok 2024 poskytly banky a stavební spořitelny nové hypoteční úvěry v objemu 228 miliard Kč. </w:t>
      </w:r>
      <w:r w:rsidRPr="00840F7C">
        <w:rPr>
          <w:rFonts w:ascii="Calibri" w:hAnsi="Calibri" w:cs="Calibri"/>
          <w:color w:val="000000" w:themeColor="text1"/>
          <w:sz w:val="22"/>
          <w:szCs w:val="22"/>
        </w:rPr>
        <w:t>To je více než 83</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 skok vůči objemu z roku 2023. K tomu se navíc refinancovaly hypotéky v rozsahu 47 miliard Kč a celý hypoteční trh tak v roce 2024 narostl na 275 miliard Kč ze 150 miliard v roce 2023. Pokud upravíme objemy o nárůst cen nemovitostí o 4-8 % (dle různých statistik během 1</w:t>
      </w:r>
      <w:r w:rsidR="00AE4002">
        <w:rPr>
          <w:rFonts w:ascii="Calibri" w:hAnsi="Calibri" w:cs="Calibri"/>
          <w:color w:val="000000" w:themeColor="text1"/>
          <w:sz w:val="22"/>
          <w:szCs w:val="22"/>
        </w:rPr>
        <w:t>.</w:t>
      </w:r>
      <w:r w:rsidRPr="00840F7C">
        <w:rPr>
          <w:rFonts w:ascii="Calibri" w:hAnsi="Calibri" w:cs="Calibri"/>
          <w:color w:val="000000" w:themeColor="text1"/>
          <w:sz w:val="22"/>
          <w:szCs w:val="22"/>
        </w:rPr>
        <w:t xml:space="preserve">-3. čtvrtletí 2024), objem nových hypoték vzrostl reálně o něco méně. To odpovídá i mírnějšímu nárůstu počtu nových hypoték v roce 2024 o 53 % meziročně na téměř </w:t>
      </w:r>
      <w:r w:rsidRPr="00872E78">
        <w:rPr>
          <w:rFonts w:ascii="Calibri" w:hAnsi="Calibri" w:cs="Calibri"/>
          <w:color w:val="000000" w:themeColor="text1"/>
          <w:sz w:val="22"/>
          <w:szCs w:val="22"/>
        </w:rPr>
        <w:t>62 tisíc a téměř 20% nárůstu průměrné výše poskytnuté nové hypotéky na 3,7 milion</w:t>
      </w:r>
      <w:r w:rsidR="00AE4002">
        <w:rPr>
          <w:rFonts w:ascii="Calibri" w:hAnsi="Calibri" w:cs="Calibri"/>
          <w:color w:val="000000" w:themeColor="text1"/>
          <w:sz w:val="22"/>
          <w:szCs w:val="22"/>
        </w:rPr>
        <w:t>u</w:t>
      </w:r>
      <w:r w:rsidRPr="00872E78">
        <w:rPr>
          <w:rFonts w:ascii="Calibri" w:hAnsi="Calibri" w:cs="Calibri"/>
          <w:color w:val="000000" w:themeColor="text1"/>
          <w:sz w:val="22"/>
          <w:szCs w:val="22"/>
        </w:rPr>
        <w:t xml:space="preserve"> Kč</w:t>
      </w:r>
      <w:r w:rsidR="00693034" w:rsidRPr="00872E78">
        <w:rPr>
          <w:rFonts w:ascii="Calibri" w:hAnsi="Calibri" w:cs="Calibri"/>
          <w:color w:val="000000" w:themeColor="text1"/>
          <w:sz w:val="22"/>
          <w:szCs w:val="22"/>
        </w:rPr>
        <w:t xml:space="preserve">. </w:t>
      </w:r>
      <w:r w:rsidR="003E393C" w:rsidRPr="00872E78">
        <w:rPr>
          <w:rFonts w:ascii="Calibri" w:hAnsi="Calibri" w:cs="Calibri"/>
          <w:color w:val="000000" w:themeColor="text1"/>
          <w:sz w:val="22"/>
          <w:szCs w:val="22"/>
        </w:rPr>
        <w:t>Ve srovnání s předpandemickými roky 2017-2019 byl objem poskytnutých</w:t>
      </w:r>
      <w:r w:rsidR="00872E78" w:rsidRPr="00872E78">
        <w:rPr>
          <w:rFonts w:ascii="Calibri" w:hAnsi="Calibri" w:cs="Calibri"/>
          <w:color w:val="000000" w:themeColor="text1"/>
          <w:sz w:val="22"/>
          <w:szCs w:val="22"/>
        </w:rPr>
        <w:t xml:space="preserve"> nových</w:t>
      </w:r>
      <w:r w:rsidR="003E393C" w:rsidRPr="00872E78">
        <w:rPr>
          <w:rFonts w:ascii="Calibri" w:hAnsi="Calibri" w:cs="Calibri"/>
          <w:color w:val="000000" w:themeColor="text1"/>
          <w:sz w:val="22"/>
          <w:szCs w:val="22"/>
        </w:rPr>
        <w:t xml:space="preserve"> hypoték v roce 202</w:t>
      </w:r>
      <w:r w:rsidR="003E4820" w:rsidRPr="00872E78">
        <w:rPr>
          <w:rFonts w:ascii="Calibri" w:hAnsi="Calibri" w:cs="Calibri"/>
          <w:color w:val="000000" w:themeColor="text1"/>
          <w:sz w:val="22"/>
          <w:szCs w:val="22"/>
        </w:rPr>
        <w:t>4</w:t>
      </w:r>
      <w:r w:rsidR="003E393C" w:rsidRPr="00872E78">
        <w:rPr>
          <w:rFonts w:ascii="Calibri" w:hAnsi="Calibri" w:cs="Calibri"/>
          <w:color w:val="000000" w:themeColor="text1"/>
          <w:sz w:val="22"/>
          <w:szCs w:val="22"/>
        </w:rPr>
        <w:t xml:space="preserve"> zhruba o </w:t>
      </w:r>
      <w:r w:rsidR="00FE400F" w:rsidRPr="00872E78">
        <w:rPr>
          <w:rFonts w:ascii="Calibri" w:hAnsi="Calibri" w:cs="Calibri"/>
          <w:color w:val="000000" w:themeColor="text1"/>
          <w:sz w:val="22"/>
          <w:szCs w:val="22"/>
        </w:rPr>
        <w:t>necelou pětinu vyšší</w:t>
      </w:r>
      <w:r w:rsidR="003E393C" w:rsidRPr="00872E78">
        <w:rPr>
          <w:rFonts w:ascii="Calibri" w:hAnsi="Calibri" w:cs="Calibri"/>
          <w:color w:val="000000" w:themeColor="text1"/>
          <w:sz w:val="22"/>
          <w:szCs w:val="22"/>
        </w:rPr>
        <w:t xml:space="preserve">. </w:t>
      </w:r>
    </w:p>
    <w:p w14:paraId="40806D87" w14:textId="77777777" w:rsidR="001E4370" w:rsidRDefault="001E4370" w:rsidP="003E393C">
      <w:pPr>
        <w:rPr>
          <w:rFonts w:ascii="Calibri" w:hAnsi="Calibri" w:cs="Calibri"/>
          <w:b/>
          <w:color w:val="13576B"/>
          <w:sz w:val="23"/>
          <w:szCs w:val="23"/>
          <w:highlight w:val="yellow"/>
        </w:rPr>
      </w:pPr>
    </w:p>
    <w:p w14:paraId="27A57DD1" w14:textId="77777777" w:rsidR="001E4370" w:rsidRPr="002138C0" w:rsidRDefault="001E4370" w:rsidP="003E393C">
      <w:pPr>
        <w:rPr>
          <w:rFonts w:ascii="Calibri" w:hAnsi="Calibri" w:cs="Calibri"/>
          <w:b/>
          <w:color w:val="13576B"/>
          <w:sz w:val="23"/>
          <w:szCs w:val="23"/>
          <w:highlight w:val="yellow"/>
        </w:rPr>
      </w:pPr>
    </w:p>
    <w:p w14:paraId="11595CC2" w14:textId="635689CB" w:rsidR="003E393C" w:rsidRPr="002F4CBD" w:rsidRDefault="003E393C" w:rsidP="003E393C">
      <w:pPr>
        <w:rPr>
          <w:rFonts w:ascii="Calibri" w:hAnsi="Calibri" w:cs="Calibri"/>
          <w:sz w:val="22"/>
          <w:szCs w:val="22"/>
        </w:rPr>
      </w:pPr>
      <w:r w:rsidRPr="002F4CBD">
        <w:rPr>
          <w:rFonts w:ascii="Calibri" w:hAnsi="Calibri" w:cs="Calibri"/>
          <w:b/>
          <w:color w:val="13576B"/>
          <w:sz w:val="23"/>
          <w:szCs w:val="23"/>
        </w:rPr>
        <w:t xml:space="preserve">Graf č. </w:t>
      </w:r>
      <w:r w:rsidR="0010371D" w:rsidRPr="002F4CBD">
        <w:rPr>
          <w:rFonts w:ascii="Calibri" w:hAnsi="Calibri" w:cs="Calibri"/>
          <w:b/>
          <w:color w:val="13576B"/>
          <w:sz w:val="23"/>
          <w:szCs w:val="23"/>
        </w:rPr>
        <w:t>2</w:t>
      </w:r>
      <w:r w:rsidRPr="002F4CBD">
        <w:rPr>
          <w:rFonts w:ascii="Calibri" w:hAnsi="Calibri" w:cs="Calibri"/>
          <w:b/>
          <w:color w:val="13576B"/>
          <w:sz w:val="23"/>
          <w:szCs w:val="23"/>
        </w:rPr>
        <w:t>: Celoroční objem a počet poskytnutých hypoték v letech 2021 až 202</w:t>
      </w:r>
      <w:r w:rsidR="002138C0" w:rsidRPr="002F4CBD">
        <w:rPr>
          <w:rFonts w:ascii="Calibri" w:hAnsi="Calibri" w:cs="Calibri"/>
          <w:b/>
          <w:color w:val="13576B"/>
          <w:sz w:val="23"/>
          <w:szCs w:val="23"/>
        </w:rPr>
        <w:t>4</w:t>
      </w:r>
    </w:p>
    <w:p w14:paraId="6B4EF12D" w14:textId="28831766" w:rsidR="003E393C" w:rsidRPr="002F4CBD" w:rsidRDefault="003E393C" w:rsidP="003E393C">
      <w:pPr>
        <w:rPr>
          <w:rFonts w:ascii="Calibri" w:hAnsi="Calibri" w:cs="Calibri"/>
          <w:sz w:val="22"/>
          <w:szCs w:val="22"/>
        </w:rPr>
      </w:pPr>
    </w:p>
    <w:p w14:paraId="2F4D295D" w14:textId="57A93BDF" w:rsidR="002F4CBD" w:rsidRPr="002F4CBD" w:rsidRDefault="002F4CBD" w:rsidP="003E393C">
      <w:pPr>
        <w:rPr>
          <w:rFonts w:ascii="Calibri" w:hAnsi="Calibri" w:cs="Calibri"/>
          <w:sz w:val="22"/>
          <w:szCs w:val="22"/>
        </w:rPr>
      </w:pPr>
      <w:r w:rsidRPr="002F4CBD">
        <w:rPr>
          <w:noProof/>
        </w:rPr>
        <w:drawing>
          <wp:inline distT="0" distB="0" distL="0" distR="0" wp14:anchorId="126AC1CA" wp14:editId="276DF6AD">
            <wp:extent cx="6480810" cy="2711450"/>
            <wp:effectExtent l="0" t="0" r="0" b="0"/>
            <wp:docPr id="56465520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55201" name="Picture 1" descr="A screenshot of a graph&#10;&#10;Description automatically generated"/>
                    <pic:cNvPicPr/>
                  </pic:nvPicPr>
                  <pic:blipFill>
                    <a:blip r:embed="rId13"/>
                    <a:stretch>
                      <a:fillRect/>
                    </a:stretch>
                  </pic:blipFill>
                  <pic:spPr>
                    <a:xfrm>
                      <a:off x="0" y="0"/>
                      <a:ext cx="6480810" cy="2711450"/>
                    </a:xfrm>
                    <a:prstGeom prst="rect">
                      <a:avLst/>
                    </a:prstGeom>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2F4CBD">
        <w:rPr>
          <w:rFonts w:ascii="Calibri Light" w:hAnsi="Calibri Light" w:cs="Calibri Light"/>
          <w:color w:val="13576B"/>
          <w:sz w:val="20"/>
        </w:rPr>
        <w:t xml:space="preserve">Pramen: ČBA </w:t>
      </w:r>
      <w:proofErr w:type="spellStart"/>
      <w:r w:rsidRPr="002F4CBD">
        <w:rPr>
          <w:rFonts w:ascii="Calibri Light" w:hAnsi="Calibri Light" w:cs="Calibri Light"/>
          <w:color w:val="13576B"/>
          <w:sz w:val="20"/>
        </w:rPr>
        <w:t>Hypomonitor</w:t>
      </w:r>
      <w:proofErr w:type="spellEnd"/>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4AE26056" w14:textId="5996B91C" w:rsidR="00137560" w:rsidRPr="00616069" w:rsidRDefault="007F41A0" w:rsidP="00CA3B41">
      <w:pPr>
        <w:rPr>
          <w:rFonts w:ascii="Calibri" w:hAnsi="Calibri" w:cs="Calibri"/>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4"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5"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146C6D89" w14:textId="77777777" w:rsidR="0028530F"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w:t>
                      </w:r>
                      <w:proofErr w:type="spellStart"/>
                      <w:r w:rsidRPr="00616069">
                        <w:rPr>
                          <w:rFonts w:ascii="Calibri" w:hAnsi="Calibri" w:cs="Calibri"/>
                          <w:color w:val="FFFFFF" w:themeColor="background1"/>
                          <w:szCs w:val="18"/>
                        </w:rPr>
                        <w:t>Hypomonitor</w:t>
                      </w:r>
                      <w:proofErr w:type="spellEnd"/>
                      <w:r w:rsidRPr="00616069">
                        <w:rPr>
                          <w:rFonts w:ascii="Calibri" w:hAnsi="Calibri" w:cs="Calibri"/>
                          <w:color w:val="FFFFFF" w:themeColor="background1"/>
                          <w:szCs w:val="18"/>
                        </w:rPr>
                        <w:t xml:space="preserve">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w:t>
                      </w:r>
                      <w:proofErr w:type="gramStart"/>
                      <w:r w:rsidRPr="00616069">
                        <w:rPr>
                          <w:rFonts w:ascii="Calibri" w:hAnsi="Calibri" w:cs="Calibri"/>
                          <w:color w:val="FFFFFF" w:themeColor="background1"/>
                        </w:rPr>
                        <w:t>podílu,</w:t>
                      </w:r>
                      <w:proofErr w:type="gramEnd"/>
                      <w:r w:rsidRPr="00616069">
                        <w:rPr>
                          <w:rFonts w:ascii="Calibri" w:hAnsi="Calibri" w:cs="Calibri"/>
                          <w:color w:val="FFFFFF" w:themeColor="background1"/>
                        </w:rPr>
                        <w:t xml:space="preserve">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Data pro ČBA </w:t>
                      </w:r>
                      <w:proofErr w:type="spellStart"/>
                      <w:r w:rsidRPr="00616069">
                        <w:rPr>
                          <w:rFonts w:ascii="Calibri" w:hAnsi="Calibri" w:cs="Calibri"/>
                          <w:color w:val="FFFFFF" w:themeColor="background1"/>
                        </w:rPr>
                        <w:t>Hypomonitor</w:t>
                      </w:r>
                      <w:proofErr w:type="spellEnd"/>
                      <w:r w:rsidRPr="00616069">
                        <w:rPr>
                          <w:rFonts w:ascii="Calibri" w:hAnsi="Calibri" w:cs="Calibri"/>
                          <w:color w:val="FFFFFF" w:themeColor="background1"/>
                        </w:rPr>
                        <w:t xml:space="preserve"> poskytují následující banky a stavební spořitelny: Air Bank, Česká spořitelna, ČSOB, ČSOB Stavební spořitelna, Fio banka, Hypoteční banka, Komerční banka, mBank, Modrá pyramida, MONETA Money Bank, MONETA Stavební spořitelna, </w:t>
                      </w:r>
                      <w:proofErr w:type="spellStart"/>
                      <w:r w:rsidRPr="00616069">
                        <w:rPr>
                          <w:rFonts w:ascii="Calibri" w:hAnsi="Calibri" w:cs="Calibri"/>
                          <w:color w:val="FFFFFF" w:themeColor="background1"/>
                        </w:rPr>
                        <w:t>Oberbank</w:t>
                      </w:r>
                      <w:proofErr w:type="spellEnd"/>
                      <w:r w:rsidRPr="00616069">
                        <w:rPr>
                          <w:rFonts w:ascii="Calibri" w:hAnsi="Calibri" w:cs="Calibri"/>
                          <w:color w:val="FFFFFF" w:themeColor="background1"/>
                        </w:rPr>
                        <w:t xml:space="preserve">, </w:t>
                      </w:r>
                      <w:proofErr w:type="spellStart"/>
                      <w:r w:rsidRPr="00616069">
                        <w:rPr>
                          <w:rFonts w:ascii="Calibri" w:hAnsi="Calibri" w:cs="Calibri"/>
                          <w:color w:val="FFFFFF" w:themeColor="background1"/>
                        </w:rPr>
                        <w:t>Raiffeisen</w:t>
                      </w:r>
                      <w:proofErr w:type="spellEnd"/>
                      <w:r w:rsidRPr="00616069">
                        <w:rPr>
                          <w:rFonts w:ascii="Calibri" w:hAnsi="Calibri" w:cs="Calibri"/>
                          <w:color w:val="FFFFFF" w:themeColor="background1"/>
                        </w:rPr>
                        <w:t xml:space="preserve"> stavební spořitelna, Raiffeisenbank, Stavební spořitelna České spořitelny, UniCredit Bank.</w:t>
                      </w:r>
                    </w:p>
                  </w:txbxContent>
                </v:textbox>
                <w10:wrap type="square" anchorx="margin"/>
              </v:shape>
            </w:pict>
          </mc:Fallback>
        </mc:AlternateContent>
      </w:r>
    </w:p>
    <w:tbl>
      <w:tblPr>
        <w:tblStyle w:val="Mkatabul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7"/>
        <w:gridCol w:w="3384"/>
      </w:tblGrid>
      <w:tr w:rsidR="0028530F" w:rsidRPr="00D80B55" w14:paraId="4825E599" w14:textId="77777777" w:rsidTr="001B1140">
        <w:trPr>
          <w:trHeight w:val="1364"/>
        </w:trPr>
        <w:tc>
          <w:tcPr>
            <w:tcW w:w="6817" w:type="dxa"/>
            <w:shd w:val="clear" w:color="auto" w:fill="13576B"/>
          </w:tcPr>
          <w:p w14:paraId="1EB2DC0A" w14:textId="77777777" w:rsidR="0028530F" w:rsidRPr="00D80B55" w:rsidRDefault="0028530F" w:rsidP="001B1140">
            <w:pPr>
              <w:pStyle w:val="CBANadpisvTABULCE"/>
              <w:jc w:val="both"/>
              <w:rPr>
                <w:rFonts w:cs="Arial"/>
                <w:color w:val="FFFFFF" w:themeColor="background1"/>
                <w:szCs w:val="18"/>
              </w:rPr>
            </w:pPr>
            <w:r w:rsidRPr="00D80B55">
              <w:rPr>
                <w:rFonts w:cs="Arial"/>
                <w:color w:val="FFFFFF" w:themeColor="background1"/>
                <w:szCs w:val="18"/>
              </w:rPr>
              <w:t>O České bankovní asociaci</w:t>
            </w:r>
          </w:p>
          <w:p w14:paraId="4EB0391C" w14:textId="376AE2CD" w:rsidR="0028530F" w:rsidRPr="00D80B55" w:rsidRDefault="0028530F" w:rsidP="001B1140">
            <w:pPr>
              <w:rPr>
                <w:rFonts w:cs="Arial"/>
                <w:color w:val="FFFFFF" w:themeColor="background1"/>
                <w:sz w:val="22"/>
              </w:rPr>
            </w:pPr>
            <w:r w:rsidRPr="00D80B55">
              <w:rPr>
                <w:rFonts w:cs="Arial"/>
                <w:color w:val="FFFFFF" w:themeColor="background1"/>
              </w:rPr>
              <w:t>Česká bankovní asociace (ČBA) je dobrovolné sdružení 3</w:t>
            </w:r>
            <w:r>
              <w:rPr>
                <w:rFonts w:cs="Arial"/>
                <w:color w:val="FFFFFF" w:themeColor="background1"/>
              </w:rPr>
              <w:t>3</w:t>
            </w:r>
            <w:r w:rsidRPr="00D80B55">
              <w:rPr>
                <w:rFonts w:cs="Arial"/>
                <w:color w:val="FFFFFF" w:themeColor="background1"/>
              </w:rPr>
              <w:t xml:space="preserve"> bank, které v ČR působí a reprezentuje tak 99 % trhu. </w:t>
            </w:r>
            <w:r>
              <w:rPr>
                <w:rFonts w:cs="Arial"/>
                <w:color w:val="FFFFFF" w:themeColor="background1"/>
              </w:rPr>
              <w:t>Více než</w:t>
            </w:r>
            <w:r w:rsidRPr="00D80B55">
              <w:rPr>
                <w:rFonts w:cs="Arial"/>
                <w:color w:val="FFFFFF" w:themeColor="background1"/>
              </w:rPr>
              <w:t xml:space="preserve"> 30 let podporuje nejen rozvoj bankovního sektoru, ale i celé ekonomiky a všeobecné finanční gramotnosti. ČBA je členem Evropské bankovní federace (EBF).</w:t>
            </w:r>
          </w:p>
          <w:p w14:paraId="598BB9F7" w14:textId="77777777" w:rsidR="0028530F" w:rsidRPr="00D80B55" w:rsidRDefault="0028530F" w:rsidP="001B1140">
            <w:pPr>
              <w:pStyle w:val="CBAodstavecvTABULCE"/>
              <w:jc w:val="both"/>
              <w:rPr>
                <w:rFonts w:cs="Arial"/>
                <w:color w:val="FFFFFF" w:themeColor="background1"/>
                <w:szCs w:val="18"/>
              </w:rPr>
            </w:pPr>
            <w:r w:rsidRPr="00D80B55">
              <w:rPr>
                <w:rFonts w:cs="Arial"/>
                <w:color w:val="FFFFFF" w:themeColor="background1"/>
                <w:szCs w:val="18"/>
              </w:rPr>
              <w:t xml:space="preserve">Více informací na </w:t>
            </w:r>
            <w:r w:rsidRPr="00D80B55">
              <w:rPr>
                <w:rFonts w:cs="Arial"/>
                <w:color w:val="FFFFFF" w:themeColor="background1"/>
                <w:szCs w:val="18"/>
                <w:u w:val="single"/>
              </w:rPr>
              <w:t>www.cbaonline.cz.</w:t>
            </w:r>
            <w:r w:rsidRPr="00D80B55">
              <w:rPr>
                <w:rFonts w:cs="Arial"/>
                <w:color w:val="A9936D"/>
                <w:szCs w:val="18"/>
              </w:rPr>
              <w:t xml:space="preserve"> </w:t>
            </w:r>
          </w:p>
        </w:tc>
        <w:tc>
          <w:tcPr>
            <w:tcW w:w="3384" w:type="dxa"/>
            <w:shd w:val="clear" w:color="auto" w:fill="A9936D"/>
            <w:vAlign w:val="center"/>
          </w:tcPr>
          <w:p w14:paraId="606A2DEB" w14:textId="77777777" w:rsidR="0028530F" w:rsidRPr="00D80B55" w:rsidRDefault="0028530F" w:rsidP="001B1140">
            <w:pPr>
              <w:pStyle w:val="CBAodstavecvTABULCE"/>
              <w:rPr>
                <w:rFonts w:cs="Arial"/>
                <w:b/>
                <w:bCs/>
                <w:color w:val="FFFFFF" w:themeColor="background1"/>
                <w:szCs w:val="18"/>
              </w:rPr>
            </w:pPr>
            <w:r w:rsidRPr="00D80B55">
              <w:rPr>
                <w:rFonts w:cs="Arial"/>
                <w:b/>
                <w:bCs/>
                <w:color w:val="FFFFFF" w:themeColor="background1"/>
                <w:szCs w:val="18"/>
              </w:rPr>
              <w:t xml:space="preserve">                Dotazy posílejte na</w:t>
            </w:r>
          </w:p>
          <w:p w14:paraId="64706D81" w14:textId="77777777" w:rsidR="0028530F" w:rsidRPr="00D80B55" w:rsidRDefault="0028530F" w:rsidP="001B1140">
            <w:pPr>
              <w:pStyle w:val="CBAodstavecvTABULCE"/>
              <w:jc w:val="center"/>
              <w:rPr>
                <w:rFonts w:cs="Arial"/>
                <w:color w:val="FFFFFF" w:themeColor="background1"/>
                <w:szCs w:val="18"/>
              </w:rPr>
            </w:pPr>
            <w:r w:rsidRPr="00D80B55">
              <w:rPr>
                <w:rFonts w:cs="Arial"/>
                <w:b/>
                <w:bCs/>
                <w:color w:val="FFFFFF" w:themeColor="background1"/>
                <w:szCs w:val="18"/>
              </w:rPr>
              <w:t>radek.salsa@cbaonline.cz</w:t>
            </w:r>
          </w:p>
        </w:tc>
      </w:tr>
    </w:tbl>
    <w:p w14:paraId="79952D08" w14:textId="7B44AB4C" w:rsidR="00C42F00" w:rsidRPr="00B04FE2" w:rsidRDefault="00C42F00" w:rsidP="00CF7439">
      <w:pPr>
        <w:rPr>
          <w:rFonts w:ascii="Calibri" w:hAnsi="Calibri" w:cs="Calibri"/>
          <w:sz w:val="22"/>
          <w:szCs w:val="22"/>
        </w:rPr>
      </w:pPr>
    </w:p>
    <w:sectPr w:rsidR="00C42F00" w:rsidRPr="00B04FE2" w:rsidSect="000C6834">
      <w:headerReference w:type="default" r:id="rId16"/>
      <w:footerReference w:type="default" r:id="rId17"/>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81DB" w14:textId="77777777" w:rsidR="007D043D" w:rsidRPr="00616069" w:rsidRDefault="007D043D" w:rsidP="00F573F1">
      <w:r w:rsidRPr="00616069">
        <w:separator/>
      </w:r>
    </w:p>
  </w:endnote>
  <w:endnote w:type="continuationSeparator" w:id="0">
    <w:p w14:paraId="24AB7F83" w14:textId="77777777" w:rsidR="007D043D" w:rsidRPr="00616069" w:rsidRDefault="007D043D"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19F6" w14:textId="77777777" w:rsidR="007D043D" w:rsidRPr="00616069" w:rsidRDefault="007D043D" w:rsidP="00F573F1">
      <w:r w:rsidRPr="00616069">
        <w:separator/>
      </w:r>
    </w:p>
  </w:footnote>
  <w:footnote w:type="continuationSeparator" w:id="0">
    <w:p w14:paraId="1FE81E27" w14:textId="77777777" w:rsidR="007D043D" w:rsidRPr="00616069" w:rsidRDefault="007D043D" w:rsidP="00F573F1">
      <w:r w:rsidRPr="00616069">
        <w:continuationSeparator/>
      </w:r>
    </w:p>
  </w:footnote>
  <w:footnote w:id="1">
    <w:p w14:paraId="2846C8C7" w14:textId="77777777" w:rsidR="005578C6" w:rsidRPr="00616069" w:rsidRDefault="005578C6" w:rsidP="005578C6">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Jedná se především o dlouholeté úrokové swapy (</w:t>
      </w:r>
      <w:proofErr w:type="spellStart"/>
      <w:r w:rsidRPr="00616069">
        <w:rPr>
          <w:rFonts w:asciiTheme="majorHAnsi" w:hAnsiTheme="majorHAnsi" w:cstheme="majorHAnsi"/>
          <w:sz w:val="17"/>
          <w:szCs w:val="17"/>
        </w:rPr>
        <w:t>interest</w:t>
      </w:r>
      <w:proofErr w:type="spellEnd"/>
      <w:r w:rsidRPr="00616069">
        <w:rPr>
          <w:rFonts w:asciiTheme="majorHAnsi" w:hAnsiTheme="majorHAnsi" w:cstheme="majorHAnsi"/>
          <w:sz w:val="17"/>
          <w:szCs w:val="17"/>
        </w:rPr>
        <w:t xml:space="preserve"> </w:t>
      </w:r>
      <w:proofErr w:type="spellStart"/>
      <w:r w:rsidRPr="00616069">
        <w:rPr>
          <w:rFonts w:asciiTheme="majorHAnsi" w:hAnsiTheme="majorHAnsi" w:cstheme="majorHAnsi"/>
          <w:sz w:val="17"/>
          <w:szCs w:val="17"/>
        </w:rPr>
        <w:t>rate</w:t>
      </w:r>
      <w:proofErr w:type="spellEnd"/>
      <w:r w:rsidRPr="00616069">
        <w:rPr>
          <w:rFonts w:asciiTheme="majorHAnsi" w:hAnsiTheme="majorHAnsi" w:cstheme="majorHAnsi"/>
          <w:sz w:val="17"/>
          <w:szCs w:val="17"/>
        </w:rPr>
        <w:t xml:space="preserve"> swap, IRS), které odráží cenu peněz v delších splatnostech, například </w:t>
      </w:r>
      <w:r>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3F408451" w14:textId="77777777" w:rsidR="00952AEF" w:rsidRPr="00952AEF" w:rsidRDefault="00952AEF" w:rsidP="00952AEF">
      <w:pPr>
        <w:pStyle w:val="Textpoznpodarou"/>
        <w:rPr>
          <w:rFonts w:asciiTheme="majorHAnsi" w:hAnsiTheme="majorHAnsi" w:cstheme="majorHAnsi"/>
          <w:sz w:val="17"/>
          <w:szCs w:val="17"/>
        </w:rPr>
      </w:pPr>
      <w:r w:rsidRPr="00616069">
        <w:rPr>
          <w:rStyle w:val="Znakapoznpodarou"/>
        </w:rPr>
        <w:footnoteRef/>
      </w:r>
      <w:r w:rsidRPr="00616069">
        <w:t xml:space="preserve"> </w:t>
      </w:r>
      <w:r w:rsidRPr="00616069">
        <w:rPr>
          <w:rFonts w:asciiTheme="majorHAnsi" w:hAnsiTheme="majorHAnsi" w:cstheme="majorHAnsi"/>
          <w:sz w:val="17"/>
          <w:szCs w:val="17"/>
        </w:rPr>
        <w:t xml:space="preserve">Tabulka je k dispozici v souboru </w:t>
      </w:r>
      <w:proofErr w:type="spellStart"/>
      <w:r w:rsidRPr="00616069">
        <w:rPr>
          <w:rFonts w:asciiTheme="majorHAnsi" w:hAnsiTheme="majorHAnsi" w:cstheme="majorHAnsi"/>
          <w:sz w:val="17"/>
          <w:szCs w:val="17"/>
        </w:rPr>
        <w:t>xls</w:t>
      </w:r>
      <w:proofErr w:type="spellEnd"/>
      <w:r w:rsidRPr="00616069">
        <w:rPr>
          <w:rFonts w:asciiTheme="majorHAnsi" w:hAnsiTheme="majorHAnsi" w:cstheme="majorHAnsi"/>
          <w:sz w:val="17"/>
          <w:szCs w:val="17"/>
        </w:rPr>
        <w:t xml:space="preserve"> přiloženém na webových stránkách ČBA Hypomonitoru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170ED630"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0"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170ED630"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5758B699"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641532">
                            <w:rPr>
                              <w:rFonts w:ascii="Calibri" w:hAnsi="Calibri" w:cs="Calibri"/>
                              <w:color w:val="13576B"/>
                              <w:sz w:val="20"/>
                              <w:szCs w:val="22"/>
                            </w:rPr>
                            <w:t>7</w:t>
                          </w:r>
                          <w:r w:rsidR="002D4720" w:rsidRPr="00616069">
                            <w:rPr>
                              <w:rFonts w:ascii="Calibri" w:hAnsi="Calibri" w:cs="Calibri"/>
                              <w:color w:val="13576B"/>
                              <w:sz w:val="20"/>
                              <w:szCs w:val="22"/>
                            </w:rPr>
                            <w:t>.</w:t>
                          </w:r>
                          <w:r w:rsidR="00641532">
                            <w:rPr>
                              <w:rFonts w:ascii="Calibri" w:hAnsi="Calibri" w:cs="Calibri"/>
                              <w:color w:val="13576B"/>
                              <w:sz w:val="20"/>
                              <w:szCs w:val="22"/>
                            </w:rPr>
                            <w:t>2</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1"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5758B699" w:rsidR="002D4720" w:rsidRPr="00616069" w:rsidRDefault="007F41A0" w:rsidP="002138C0">
                    <w:pPr>
                      <w:spacing w:line="276" w:lineRule="auto"/>
                      <w:jc w:val="right"/>
                      <w:rPr>
                        <w:rFonts w:ascii="Calibri" w:hAnsi="Calibri" w:cs="Calibri"/>
                        <w:b/>
                        <w:color w:val="13576B"/>
                        <w:sz w:val="20"/>
                        <w:szCs w:val="22"/>
                      </w:rPr>
                    </w:pPr>
                    <w:r w:rsidRPr="00616069">
                      <w:rPr>
                        <w:rFonts w:ascii="Calibri" w:hAnsi="Calibri" w:cs="Calibri"/>
                        <w:color w:val="13576B"/>
                        <w:sz w:val="20"/>
                        <w:szCs w:val="22"/>
                      </w:rPr>
                      <w:t xml:space="preserve">            </w:t>
                    </w:r>
                    <w:r w:rsidR="002138C0">
                      <w:rPr>
                        <w:rFonts w:ascii="Calibri" w:hAnsi="Calibri" w:cs="Calibri"/>
                        <w:color w:val="13576B"/>
                        <w:sz w:val="20"/>
                        <w:szCs w:val="22"/>
                      </w:rPr>
                      <w:t>1</w:t>
                    </w:r>
                    <w:r w:rsidR="00641532">
                      <w:rPr>
                        <w:rFonts w:ascii="Calibri" w:hAnsi="Calibri" w:cs="Calibri"/>
                        <w:color w:val="13576B"/>
                        <w:sz w:val="20"/>
                        <w:szCs w:val="22"/>
                      </w:rPr>
                      <w:t>7</w:t>
                    </w:r>
                    <w:r w:rsidR="002D4720" w:rsidRPr="00616069">
                      <w:rPr>
                        <w:rFonts w:ascii="Calibri" w:hAnsi="Calibri" w:cs="Calibri"/>
                        <w:color w:val="13576B"/>
                        <w:sz w:val="20"/>
                        <w:szCs w:val="22"/>
                      </w:rPr>
                      <w:t>.</w:t>
                    </w:r>
                    <w:r w:rsidR="00641532">
                      <w:rPr>
                        <w:rFonts w:ascii="Calibri" w:hAnsi="Calibri" w:cs="Calibri"/>
                        <w:color w:val="13576B"/>
                        <w:sz w:val="20"/>
                        <w:szCs w:val="22"/>
                      </w:rPr>
                      <w:t>2</w:t>
                    </w:r>
                    <w:r w:rsidR="002D4720" w:rsidRPr="00616069">
                      <w:rPr>
                        <w:rFonts w:ascii="Calibri" w:hAnsi="Calibri" w:cs="Calibri"/>
                        <w:color w:val="13576B"/>
                        <w:sz w:val="20"/>
                        <w:szCs w:val="22"/>
                      </w:rPr>
                      <w:t>.202</w:t>
                    </w:r>
                    <w:r w:rsidR="002138C0">
                      <w:rPr>
                        <w:rFonts w:ascii="Calibri" w:hAnsi="Calibri" w:cs="Calibri"/>
                        <w:color w:val="13576B"/>
                        <w:sz w:val="20"/>
                        <w:szCs w:val="22"/>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4596"/>
    <w:rsid w:val="00005419"/>
    <w:rsid w:val="000054D2"/>
    <w:rsid w:val="00005B3F"/>
    <w:rsid w:val="00006511"/>
    <w:rsid w:val="00006C79"/>
    <w:rsid w:val="000070E2"/>
    <w:rsid w:val="00010564"/>
    <w:rsid w:val="000118C2"/>
    <w:rsid w:val="0001227F"/>
    <w:rsid w:val="00015933"/>
    <w:rsid w:val="000159E5"/>
    <w:rsid w:val="0001656C"/>
    <w:rsid w:val="000175B3"/>
    <w:rsid w:val="000176E6"/>
    <w:rsid w:val="000202BA"/>
    <w:rsid w:val="00020581"/>
    <w:rsid w:val="00020ED0"/>
    <w:rsid w:val="00020FE5"/>
    <w:rsid w:val="000213CC"/>
    <w:rsid w:val="00023E9F"/>
    <w:rsid w:val="0002473E"/>
    <w:rsid w:val="000264B4"/>
    <w:rsid w:val="000265A3"/>
    <w:rsid w:val="00027099"/>
    <w:rsid w:val="00027B22"/>
    <w:rsid w:val="00027BAD"/>
    <w:rsid w:val="00031418"/>
    <w:rsid w:val="00031478"/>
    <w:rsid w:val="00035040"/>
    <w:rsid w:val="00036FAB"/>
    <w:rsid w:val="00037707"/>
    <w:rsid w:val="00037C17"/>
    <w:rsid w:val="00040FA4"/>
    <w:rsid w:val="00043889"/>
    <w:rsid w:val="00043DB1"/>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2DB9"/>
    <w:rsid w:val="000733AD"/>
    <w:rsid w:val="0007445A"/>
    <w:rsid w:val="00074C45"/>
    <w:rsid w:val="000752D6"/>
    <w:rsid w:val="00075932"/>
    <w:rsid w:val="0007638A"/>
    <w:rsid w:val="00076C37"/>
    <w:rsid w:val="000770D8"/>
    <w:rsid w:val="00080102"/>
    <w:rsid w:val="00081E35"/>
    <w:rsid w:val="00083D1A"/>
    <w:rsid w:val="000841C2"/>
    <w:rsid w:val="000842AE"/>
    <w:rsid w:val="00084CF9"/>
    <w:rsid w:val="00086094"/>
    <w:rsid w:val="00086BE0"/>
    <w:rsid w:val="0008743D"/>
    <w:rsid w:val="0009101B"/>
    <w:rsid w:val="00091B3B"/>
    <w:rsid w:val="0009491E"/>
    <w:rsid w:val="00097293"/>
    <w:rsid w:val="000976B9"/>
    <w:rsid w:val="00097B42"/>
    <w:rsid w:val="000A019A"/>
    <w:rsid w:val="000A0285"/>
    <w:rsid w:val="000A0ECE"/>
    <w:rsid w:val="000A16EA"/>
    <w:rsid w:val="000A2779"/>
    <w:rsid w:val="000A29DE"/>
    <w:rsid w:val="000A2C3B"/>
    <w:rsid w:val="000A3ECF"/>
    <w:rsid w:val="000A4D59"/>
    <w:rsid w:val="000A5220"/>
    <w:rsid w:val="000A549A"/>
    <w:rsid w:val="000A664C"/>
    <w:rsid w:val="000B0992"/>
    <w:rsid w:val="000B2005"/>
    <w:rsid w:val="000B3BFA"/>
    <w:rsid w:val="000B4C8F"/>
    <w:rsid w:val="000B510F"/>
    <w:rsid w:val="000B51A4"/>
    <w:rsid w:val="000B70C8"/>
    <w:rsid w:val="000B79A4"/>
    <w:rsid w:val="000C045B"/>
    <w:rsid w:val="000C11CC"/>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3B1C"/>
    <w:rsid w:val="000E4810"/>
    <w:rsid w:val="000E4ABC"/>
    <w:rsid w:val="000E563F"/>
    <w:rsid w:val="000E59CE"/>
    <w:rsid w:val="000F02C1"/>
    <w:rsid w:val="000F02FD"/>
    <w:rsid w:val="000F0342"/>
    <w:rsid w:val="000F0636"/>
    <w:rsid w:val="000F0A03"/>
    <w:rsid w:val="000F426C"/>
    <w:rsid w:val="000F4318"/>
    <w:rsid w:val="000F617D"/>
    <w:rsid w:val="000F61F5"/>
    <w:rsid w:val="000F680C"/>
    <w:rsid w:val="000F70CA"/>
    <w:rsid w:val="00100269"/>
    <w:rsid w:val="001002CD"/>
    <w:rsid w:val="00100394"/>
    <w:rsid w:val="00100429"/>
    <w:rsid w:val="0010159F"/>
    <w:rsid w:val="00102262"/>
    <w:rsid w:val="0010268F"/>
    <w:rsid w:val="0010277A"/>
    <w:rsid w:val="00102D9A"/>
    <w:rsid w:val="00103662"/>
    <w:rsid w:val="0010371D"/>
    <w:rsid w:val="00105514"/>
    <w:rsid w:val="00105918"/>
    <w:rsid w:val="00105ACC"/>
    <w:rsid w:val="00105DB5"/>
    <w:rsid w:val="00106451"/>
    <w:rsid w:val="00106D78"/>
    <w:rsid w:val="00106F70"/>
    <w:rsid w:val="00107915"/>
    <w:rsid w:val="001102C6"/>
    <w:rsid w:val="001104C5"/>
    <w:rsid w:val="001106DD"/>
    <w:rsid w:val="00110C31"/>
    <w:rsid w:val="0011113B"/>
    <w:rsid w:val="001126B2"/>
    <w:rsid w:val="00112AA1"/>
    <w:rsid w:val="00112C5A"/>
    <w:rsid w:val="00112D3E"/>
    <w:rsid w:val="00112E70"/>
    <w:rsid w:val="0011443F"/>
    <w:rsid w:val="00115D53"/>
    <w:rsid w:val="00115DDC"/>
    <w:rsid w:val="00116003"/>
    <w:rsid w:val="00116F4B"/>
    <w:rsid w:val="001177C9"/>
    <w:rsid w:val="00117860"/>
    <w:rsid w:val="00120FB7"/>
    <w:rsid w:val="001226BC"/>
    <w:rsid w:val="00122810"/>
    <w:rsid w:val="00122CC4"/>
    <w:rsid w:val="0012351B"/>
    <w:rsid w:val="00123FF9"/>
    <w:rsid w:val="00124EF9"/>
    <w:rsid w:val="001253CC"/>
    <w:rsid w:val="001259D2"/>
    <w:rsid w:val="00126A7F"/>
    <w:rsid w:val="00130063"/>
    <w:rsid w:val="00130359"/>
    <w:rsid w:val="001306A2"/>
    <w:rsid w:val="00131D36"/>
    <w:rsid w:val="00131E94"/>
    <w:rsid w:val="00132EE9"/>
    <w:rsid w:val="0013407D"/>
    <w:rsid w:val="001348D9"/>
    <w:rsid w:val="00134A41"/>
    <w:rsid w:val="001361CA"/>
    <w:rsid w:val="00136825"/>
    <w:rsid w:val="00136D3A"/>
    <w:rsid w:val="00136EC9"/>
    <w:rsid w:val="00136FC5"/>
    <w:rsid w:val="00137050"/>
    <w:rsid w:val="0013716D"/>
    <w:rsid w:val="00137560"/>
    <w:rsid w:val="00140E10"/>
    <w:rsid w:val="001438F4"/>
    <w:rsid w:val="00143BF5"/>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0E1"/>
    <w:rsid w:val="00157C6A"/>
    <w:rsid w:val="001605B3"/>
    <w:rsid w:val="001622C2"/>
    <w:rsid w:val="00162D23"/>
    <w:rsid w:val="001633ED"/>
    <w:rsid w:val="00163F5F"/>
    <w:rsid w:val="00165DDC"/>
    <w:rsid w:val="0016769F"/>
    <w:rsid w:val="00170298"/>
    <w:rsid w:val="001715A2"/>
    <w:rsid w:val="0017388B"/>
    <w:rsid w:val="0017441E"/>
    <w:rsid w:val="00175839"/>
    <w:rsid w:val="00175A85"/>
    <w:rsid w:val="00175E6C"/>
    <w:rsid w:val="00175FBC"/>
    <w:rsid w:val="00176669"/>
    <w:rsid w:val="001766FF"/>
    <w:rsid w:val="00176C20"/>
    <w:rsid w:val="00177598"/>
    <w:rsid w:val="00180856"/>
    <w:rsid w:val="0018097B"/>
    <w:rsid w:val="00180A13"/>
    <w:rsid w:val="00182C97"/>
    <w:rsid w:val="00183066"/>
    <w:rsid w:val="001833C7"/>
    <w:rsid w:val="00183FB4"/>
    <w:rsid w:val="00184412"/>
    <w:rsid w:val="00186A72"/>
    <w:rsid w:val="001903B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1F1"/>
    <w:rsid w:val="001B1467"/>
    <w:rsid w:val="001B1C5E"/>
    <w:rsid w:val="001B3197"/>
    <w:rsid w:val="001B39D3"/>
    <w:rsid w:val="001B59D9"/>
    <w:rsid w:val="001B5F14"/>
    <w:rsid w:val="001B6935"/>
    <w:rsid w:val="001B7154"/>
    <w:rsid w:val="001C091C"/>
    <w:rsid w:val="001C121C"/>
    <w:rsid w:val="001C150C"/>
    <w:rsid w:val="001C1FAA"/>
    <w:rsid w:val="001C2261"/>
    <w:rsid w:val="001C266E"/>
    <w:rsid w:val="001C280D"/>
    <w:rsid w:val="001C306A"/>
    <w:rsid w:val="001C49DC"/>
    <w:rsid w:val="001C6945"/>
    <w:rsid w:val="001C698F"/>
    <w:rsid w:val="001C7200"/>
    <w:rsid w:val="001C7CD3"/>
    <w:rsid w:val="001C7F88"/>
    <w:rsid w:val="001D12D6"/>
    <w:rsid w:val="001D169B"/>
    <w:rsid w:val="001D1B1C"/>
    <w:rsid w:val="001D2B76"/>
    <w:rsid w:val="001D2C14"/>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370"/>
    <w:rsid w:val="001E4D27"/>
    <w:rsid w:val="001E5169"/>
    <w:rsid w:val="001E5571"/>
    <w:rsid w:val="001E60C5"/>
    <w:rsid w:val="001E6F5D"/>
    <w:rsid w:val="001E71FE"/>
    <w:rsid w:val="001F0819"/>
    <w:rsid w:val="001F1677"/>
    <w:rsid w:val="001F2A1F"/>
    <w:rsid w:val="001F3DF4"/>
    <w:rsid w:val="001F49EA"/>
    <w:rsid w:val="001F5CF7"/>
    <w:rsid w:val="001F64C3"/>
    <w:rsid w:val="001F6A78"/>
    <w:rsid w:val="001F72D8"/>
    <w:rsid w:val="001F7B28"/>
    <w:rsid w:val="002010C8"/>
    <w:rsid w:val="0020111C"/>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28AF"/>
    <w:rsid w:val="002137B0"/>
    <w:rsid w:val="002138C0"/>
    <w:rsid w:val="002150BF"/>
    <w:rsid w:val="00215481"/>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28F4"/>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241A"/>
    <w:rsid w:val="0025305E"/>
    <w:rsid w:val="00253D09"/>
    <w:rsid w:val="00254CA2"/>
    <w:rsid w:val="002556C2"/>
    <w:rsid w:val="00256268"/>
    <w:rsid w:val="002567A3"/>
    <w:rsid w:val="00260219"/>
    <w:rsid w:val="00260B2C"/>
    <w:rsid w:val="0026106F"/>
    <w:rsid w:val="00262B7F"/>
    <w:rsid w:val="00263207"/>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55F"/>
    <w:rsid w:val="002808DB"/>
    <w:rsid w:val="00280AB4"/>
    <w:rsid w:val="00280D31"/>
    <w:rsid w:val="00280F92"/>
    <w:rsid w:val="002817B5"/>
    <w:rsid w:val="00282BE6"/>
    <w:rsid w:val="00283681"/>
    <w:rsid w:val="0028530F"/>
    <w:rsid w:val="002853A9"/>
    <w:rsid w:val="00285A75"/>
    <w:rsid w:val="00290498"/>
    <w:rsid w:val="0029071C"/>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5D11"/>
    <w:rsid w:val="002A6290"/>
    <w:rsid w:val="002A6A60"/>
    <w:rsid w:val="002B1743"/>
    <w:rsid w:val="002B1996"/>
    <w:rsid w:val="002B3AB2"/>
    <w:rsid w:val="002B4617"/>
    <w:rsid w:val="002B4641"/>
    <w:rsid w:val="002B5069"/>
    <w:rsid w:val="002B58A5"/>
    <w:rsid w:val="002B724C"/>
    <w:rsid w:val="002C02A9"/>
    <w:rsid w:val="002C0719"/>
    <w:rsid w:val="002C179D"/>
    <w:rsid w:val="002C18CD"/>
    <w:rsid w:val="002C2C2B"/>
    <w:rsid w:val="002C30D4"/>
    <w:rsid w:val="002C47FE"/>
    <w:rsid w:val="002C513E"/>
    <w:rsid w:val="002D1376"/>
    <w:rsid w:val="002D238E"/>
    <w:rsid w:val="002D2A30"/>
    <w:rsid w:val="002D2DC7"/>
    <w:rsid w:val="002D3F94"/>
    <w:rsid w:val="002D4720"/>
    <w:rsid w:val="002D49FB"/>
    <w:rsid w:val="002D4A25"/>
    <w:rsid w:val="002D4DF8"/>
    <w:rsid w:val="002E0041"/>
    <w:rsid w:val="002E1390"/>
    <w:rsid w:val="002E1AEB"/>
    <w:rsid w:val="002E1DBF"/>
    <w:rsid w:val="002E2498"/>
    <w:rsid w:val="002E3105"/>
    <w:rsid w:val="002E320D"/>
    <w:rsid w:val="002E3E1D"/>
    <w:rsid w:val="002E4CA1"/>
    <w:rsid w:val="002E5E57"/>
    <w:rsid w:val="002E6192"/>
    <w:rsid w:val="002E6312"/>
    <w:rsid w:val="002E6C7C"/>
    <w:rsid w:val="002F0118"/>
    <w:rsid w:val="002F0F08"/>
    <w:rsid w:val="002F1752"/>
    <w:rsid w:val="002F1AFD"/>
    <w:rsid w:val="002F20C7"/>
    <w:rsid w:val="002F2F90"/>
    <w:rsid w:val="002F2FAA"/>
    <w:rsid w:val="002F4373"/>
    <w:rsid w:val="002F477C"/>
    <w:rsid w:val="002F4A74"/>
    <w:rsid w:val="002F4CBD"/>
    <w:rsid w:val="002F4CDA"/>
    <w:rsid w:val="002F506A"/>
    <w:rsid w:val="002F52DA"/>
    <w:rsid w:val="002F557F"/>
    <w:rsid w:val="002F6432"/>
    <w:rsid w:val="003012B9"/>
    <w:rsid w:val="0030161E"/>
    <w:rsid w:val="00301915"/>
    <w:rsid w:val="003028DC"/>
    <w:rsid w:val="003029D1"/>
    <w:rsid w:val="0030348A"/>
    <w:rsid w:val="003045DD"/>
    <w:rsid w:val="00304727"/>
    <w:rsid w:val="0030613B"/>
    <w:rsid w:val="00306844"/>
    <w:rsid w:val="003077DD"/>
    <w:rsid w:val="003111F3"/>
    <w:rsid w:val="003131EC"/>
    <w:rsid w:val="003134AE"/>
    <w:rsid w:val="003142AD"/>
    <w:rsid w:val="003143A4"/>
    <w:rsid w:val="00314AB6"/>
    <w:rsid w:val="00314CF6"/>
    <w:rsid w:val="00315F32"/>
    <w:rsid w:val="00316BAA"/>
    <w:rsid w:val="00317242"/>
    <w:rsid w:val="00320811"/>
    <w:rsid w:val="00322BF9"/>
    <w:rsid w:val="00324743"/>
    <w:rsid w:val="00324769"/>
    <w:rsid w:val="00324B27"/>
    <w:rsid w:val="003253AF"/>
    <w:rsid w:val="00327407"/>
    <w:rsid w:val="00327CB6"/>
    <w:rsid w:val="00330A92"/>
    <w:rsid w:val="0033298A"/>
    <w:rsid w:val="00333B31"/>
    <w:rsid w:val="00334257"/>
    <w:rsid w:val="00335341"/>
    <w:rsid w:val="00335B88"/>
    <w:rsid w:val="00336412"/>
    <w:rsid w:val="00336CA6"/>
    <w:rsid w:val="00337157"/>
    <w:rsid w:val="003373BE"/>
    <w:rsid w:val="00340F22"/>
    <w:rsid w:val="003411DB"/>
    <w:rsid w:val="003417B4"/>
    <w:rsid w:val="00341D86"/>
    <w:rsid w:val="003423A7"/>
    <w:rsid w:val="003426EE"/>
    <w:rsid w:val="0034310E"/>
    <w:rsid w:val="00344213"/>
    <w:rsid w:val="003444F4"/>
    <w:rsid w:val="00344B88"/>
    <w:rsid w:val="00344EBB"/>
    <w:rsid w:val="00345842"/>
    <w:rsid w:val="0034612F"/>
    <w:rsid w:val="00346684"/>
    <w:rsid w:val="003472AF"/>
    <w:rsid w:val="00347FD9"/>
    <w:rsid w:val="003508FE"/>
    <w:rsid w:val="00351369"/>
    <w:rsid w:val="0035167B"/>
    <w:rsid w:val="003522BD"/>
    <w:rsid w:val="00352D4E"/>
    <w:rsid w:val="003543D2"/>
    <w:rsid w:val="0035493D"/>
    <w:rsid w:val="00356528"/>
    <w:rsid w:val="00356C7A"/>
    <w:rsid w:val="00356FF7"/>
    <w:rsid w:val="0035718C"/>
    <w:rsid w:val="003608A1"/>
    <w:rsid w:val="003608FD"/>
    <w:rsid w:val="0036420C"/>
    <w:rsid w:val="00364A11"/>
    <w:rsid w:val="00366057"/>
    <w:rsid w:val="00366A68"/>
    <w:rsid w:val="003677E2"/>
    <w:rsid w:val="0037051F"/>
    <w:rsid w:val="003707E0"/>
    <w:rsid w:val="00370F35"/>
    <w:rsid w:val="003725F0"/>
    <w:rsid w:val="003732C7"/>
    <w:rsid w:val="003739F0"/>
    <w:rsid w:val="00373FC2"/>
    <w:rsid w:val="003742A8"/>
    <w:rsid w:val="003749A5"/>
    <w:rsid w:val="00375CF8"/>
    <w:rsid w:val="00376918"/>
    <w:rsid w:val="00376F07"/>
    <w:rsid w:val="003775A3"/>
    <w:rsid w:val="00380502"/>
    <w:rsid w:val="00380788"/>
    <w:rsid w:val="003809CD"/>
    <w:rsid w:val="00381524"/>
    <w:rsid w:val="00381FAF"/>
    <w:rsid w:val="00383D10"/>
    <w:rsid w:val="00384170"/>
    <w:rsid w:val="003847A3"/>
    <w:rsid w:val="00386E7F"/>
    <w:rsid w:val="00387749"/>
    <w:rsid w:val="00387CB8"/>
    <w:rsid w:val="0039010C"/>
    <w:rsid w:val="00390C7F"/>
    <w:rsid w:val="00390E5C"/>
    <w:rsid w:val="00391AED"/>
    <w:rsid w:val="00391C4B"/>
    <w:rsid w:val="00391FA6"/>
    <w:rsid w:val="00393046"/>
    <w:rsid w:val="00394F6F"/>
    <w:rsid w:val="003952ED"/>
    <w:rsid w:val="00395549"/>
    <w:rsid w:val="00395F29"/>
    <w:rsid w:val="00396610"/>
    <w:rsid w:val="00396DEC"/>
    <w:rsid w:val="00396F9D"/>
    <w:rsid w:val="00397430"/>
    <w:rsid w:val="003A0443"/>
    <w:rsid w:val="003A0F5E"/>
    <w:rsid w:val="003A1E08"/>
    <w:rsid w:val="003A1F79"/>
    <w:rsid w:val="003A39B8"/>
    <w:rsid w:val="003A424B"/>
    <w:rsid w:val="003A46D3"/>
    <w:rsid w:val="003A542D"/>
    <w:rsid w:val="003A5636"/>
    <w:rsid w:val="003A5765"/>
    <w:rsid w:val="003A623D"/>
    <w:rsid w:val="003A68A3"/>
    <w:rsid w:val="003A76ED"/>
    <w:rsid w:val="003B0433"/>
    <w:rsid w:val="003B04C1"/>
    <w:rsid w:val="003B2C84"/>
    <w:rsid w:val="003B4E23"/>
    <w:rsid w:val="003B4F01"/>
    <w:rsid w:val="003B505C"/>
    <w:rsid w:val="003B519E"/>
    <w:rsid w:val="003B5E6F"/>
    <w:rsid w:val="003C0B1B"/>
    <w:rsid w:val="003C1195"/>
    <w:rsid w:val="003C12B6"/>
    <w:rsid w:val="003C185F"/>
    <w:rsid w:val="003C2D27"/>
    <w:rsid w:val="003C373E"/>
    <w:rsid w:val="003C3D7F"/>
    <w:rsid w:val="003C41DD"/>
    <w:rsid w:val="003C5F2E"/>
    <w:rsid w:val="003C6326"/>
    <w:rsid w:val="003C6710"/>
    <w:rsid w:val="003C6D87"/>
    <w:rsid w:val="003C7600"/>
    <w:rsid w:val="003D079C"/>
    <w:rsid w:val="003D0D7D"/>
    <w:rsid w:val="003D164F"/>
    <w:rsid w:val="003D18F0"/>
    <w:rsid w:val="003D224C"/>
    <w:rsid w:val="003D3759"/>
    <w:rsid w:val="003D45D4"/>
    <w:rsid w:val="003D613B"/>
    <w:rsid w:val="003D684B"/>
    <w:rsid w:val="003D7D9E"/>
    <w:rsid w:val="003E0FC6"/>
    <w:rsid w:val="003E14DF"/>
    <w:rsid w:val="003E1F42"/>
    <w:rsid w:val="003E3584"/>
    <w:rsid w:val="003E382B"/>
    <w:rsid w:val="003E393C"/>
    <w:rsid w:val="003E3ACA"/>
    <w:rsid w:val="003E3DCB"/>
    <w:rsid w:val="003E4312"/>
    <w:rsid w:val="003E4820"/>
    <w:rsid w:val="003E48FA"/>
    <w:rsid w:val="003E4ADE"/>
    <w:rsid w:val="003E5891"/>
    <w:rsid w:val="003E7ED0"/>
    <w:rsid w:val="003F021E"/>
    <w:rsid w:val="003F03DF"/>
    <w:rsid w:val="003F1189"/>
    <w:rsid w:val="003F12BC"/>
    <w:rsid w:val="003F12D5"/>
    <w:rsid w:val="003F159E"/>
    <w:rsid w:val="003F1CB9"/>
    <w:rsid w:val="003F2050"/>
    <w:rsid w:val="003F37CA"/>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6F40"/>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0F3C"/>
    <w:rsid w:val="004325D3"/>
    <w:rsid w:val="00435176"/>
    <w:rsid w:val="004371EE"/>
    <w:rsid w:val="00437589"/>
    <w:rsid w:val="0043780A"/>
    <w:rsid w:val="00440A53"/>
    <w:rsid w:val="00442170"/>
    <w:rsid w:val="0044352D"/>
    <w:rsid w:val="004444EE"/>
    <w:rsid w:val="004445E7"/>
    <w:rsid w:val="00444BDA"/>
    <w:rsid w:val="00445609"/>
    <w:rsid w:val="004464CF"/>
    <w:rsid w:val="00446AAD"/>
    <w:rsid w:val="004476C2"/>
    <w:rsid w:val="00451368"/>
    <w:rsid w:val="004522D4"/>
    <w:rsid w:val="00453473"/>
    <w:rsid w:val="004555E6"/>
    <w:rsid w:val="00456A9B"/>
    <w:rsid w:val="00460772"/>
    <w:rsid w:val="00461E79"/>
    <w:rsid w:val="00462717"/>
    <w:rsid w:val="004641CC"/>
    <w:rsid w:val="00464E64"/>
    <w:rsid w:val="00465403"/>
    <w:rsid w:val="00465526"/>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5ADC"/>
    <w:rsid w:val="00486858"/>
    <w:rsid w:val="004904F6"/>
    <w:rsid w:val="00490505"/>
    <w:rsid w:val="004908DB"/>
    <w:rsid w:val="00490E1A"/>
    <w:rsid w:val="00491DB6"/>
    <w:rsid w:val="00492636"/>
    <w:rsid w:val="004935C1"/>
    <w:rsid w:val="00493A20"/>
    <w:rsid w:val="00493C14"/>
    <w:rsid w:val="00495C6A"/>
    <w:rsid w:val="004969D8"/>
    <w:rsid w:val="0049704E"/>
    <w:rsid w:val="004975FD"/>
    <w:rsid w:val="004979BF"/>
    <w:rsid w:val="004A1724"/>
    <w:rsid w:val="004A2349"/>
    <w:rsid w:val="004A31A7"/>
    <w:rsid w:val="004A435C"/>
    <w:rsid w:val="004A44DB"/>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571"/>
    <w:rsid w:val="004B51F9"/>
    <w:rsid w:val="004B564F"/>
    <w:rsid w:val="004B6A7C"/>
    <w:rsid w:val="004B7ECE"/>
    <w:rsid w:val="004C04EA"/>
    <w:rsid w:val="004C0763"/>
    <w:rsid w:val="004C0A56"/>
    <w:rsid w:val="004C0AC1"/>
    <w:rsid w:val="004C10E7"/>
    <w:rsid w:val="004C23FB"/>
    <w:rsid w:val="004C3997"/>
    <w:rsid w:val="004C423D"/>
    <w:rsid w:val="004C4C1F"/>
    <w:rsid w:val="004C50BF"/>
    <w:rsid w:val="004C53CB"/>
    <w:rsid w:val="004C593C"/>
    <w:rsid w:val="004C629B"/>
    <w:rsid w:val="004C693B"/>
    <w:rsid w:val="004C751A"/>
    <w:rsid w:val="004C7E8B"/>
    <w:rsid w:val="004D0B15"/>
    <w:rsid w:val="004D0EBA"/>
    <w:rsid w:val="004D114D"/>
    <w:rsid w:val="004D14D3"/>
    <w:rsid w:val="004D18AC"/>
    <w:rsid w:val="004D23AD"/>
    <w:rsid w:val="004D3E58"/>
    <w:rsid w:val="004D4156"/>
    <w:rsid w:val="004D4333"/>
    <w:rsid w:val="004D6531"/>
    <w:rsid w:val="004E011D"/>
    <w:rsid w:val="004E0D15"/>
    <w:rsid w:val="004E1AC6"/>
    <w:rsid w:val="004E2434"/>
    <w:rsid w:val="004E26E2"/>
    <w:rsid w:val="004E3070"/>
    <w:rsid w:val="004E32FB"/>
    <w:rsid w:val="004E4B5B"/>
    <w:rsid w:val="004E5779"/>
    <w:rsid w:val="004E5E51"/>
    <w:rsid w:val="004E668A"/>
    <w:rsid w:val="004E7E07"/>
    <w:rsid w:val="004F32E1"/>
    <w:rsid w:val="004F34F2"/>
    <w:rsid w:val="004F3D9B"/>
    <w:rsid w:val="004F4632"/>
    <w:rsid w:val="004F46CE"/>
    <w:rsid w:val="004F46D6"/>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07747"/>
    <w:rsid w:val="00510452"/>
    <w:rsid w:val="00510AD7"/>
    <w:rsid w:val="00510EB1"/>
    <w:rsid w:val="0051164C"/>
    <w:rsid w:val="00512176"/>
    <w:rsid w:val="005122E9"/>
    <w:rsid w:val="005137DB"/>
    <w:rsid w:val="005142AC"/>
    <w:rsid w:val="0051437A"/>
    <w:rsid w:val="0051449F"/>
    <w:rsid w:val="0051508B"/>
    <w:rsid w:val="0051570C"/>
    <w:rsid w:val="00515A05"/>
    <w:rsid w:val="00515ECA"/>
    <w:rsid w:val="00516007"/>
    <w:rsid w:val="00517111"/>
    <w:rsid w:val="005203B7"/>
    <w:rsid w:val="005208BD"/>
    <w:rsid w:val="0052161C"/>
    <w:rsid w:val="00521FF6"/>
    <w:rsid w:val="0052347F"/>
    <w:rsid w:val="00527260"/>
    <w:rsid w:val="00527681"/>
    <w:rsid w:val="0052771A"/>
    <w:rsid w:val="00527FC5"/>
    <w:rsid w:val="00530245"/>
    <w:rsid w:val="00530967"/>
    <w:rsid w:val="00530DE6"/>
    <w:rsid w:val="00531FAE"/>
    <w:rsid w:val="0053589B"/>
    <w:rsid w:val="00535CDB"/>
    <w:rsid w:val="00535E49"/>
    <w:rsid w:val="0053659F"/>
    <w:rsid w:val="00537D18"/>
    <w:rsid w:val="00537D95"/>
    <w:rsid w:val="005417AF"/>
    <w:rsid w:val="00543780"/>
    <w:rsid w:val="005442D1"/>
    <w:rsid w:val="005450EB"/>
    <w:rsid w:val="0054574A"/>
    <w:rsid w:val="00545AC2"/>
    <w:rsid w:val="00546646"/>
    <w:rsid w:val="0054665C"/>
    <w:rsid w:val="00547A43"/>
    <w:rsid w:val="00550C47"/>
    <w:rsid w:val="00552694"/>
    <w:rsid w:val="00552D45"/>
    <w:rsid w:val="0055337B"/>
    <w:rsid w:val="0055377C"/>
    <w:rsid w:val="00553860"/>
    <w:rsid w:val="005541F4"/>
    <w:rsid w:val="00554717"/>
    <w:rsid w:val="00555261"/>
    <w:rsid w:val="00556DE6"/>
    <w:rsid w:val="005574AF"/>
    <w:rsid w:val="0055785D"/>
    <w:rsid w:val="005578C6"/>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588"/>
    <w:rsid w:val="00574619"/>
    <w:rsid w:val="005746F6"/>
    <w:rsid w:val="00575D36"/>
    <w:rsid w:val="005761EE"/>
    <w:rsid w:val="00576C13"/>
    <w:rsid w:val="00576CB6"/>
    <w:rsid w:val="00576CF4"/>
    <w:rsid w:val="00577164"/>
    <w:rsid w:val="00577D9F"/>
    <w:rsid w:val="00580391"/>
    <w:rsid w:val="0058086E"/>
    <w:rsid w:val="005818DE"/>
    <w:rsid w:val="00581AC8"/>
    <w:rsid w:val="00581CC1"/>
    <w:rsid w:val="00584718"/>
    <w:rsid w:val="00584D4C"/>
    <w:rsid w:val="005861DC"/>
    <w:rsid w:val="0058622F"/>
    <w:rsid w:val="00586418"/>
    <w:rsid w:val="00587350"/>
    <w:rsid w:val="005874B8"/>
    <w:rsid w:val="00587BA9"/>
    <w:rsid w:val="0059007C"/>
    <w:rsid w:val="00590699"/>
    <w:rsid w:val="00591A31"/>
    <w:rsid w:val="00591E29"/>
    <w:rsid w:val="00592318"/>
    <w:rsid w:val="00594C44"/>
    <w:rsid w:val="0059556C"/>
    <w:rsid w:val="00596B76"/>
    <w:rsid w:val="00597DD9"/>
    <w:rsid w:val="005A0ACF"/>
    <w:rsid w:val="005A0C34"/>
    <w:rsid w:val="005A2501"/>
    <w:rsid w:val="005A292F"/>
    <w:rsid w:val="005A2FF8"/>
    <w:rsid w:val="005A34B6"/>
    <w:rsid w:val="005A3E34"/>
    <w:rsid w:val="005A44FF"/>
    <w:rsid w:val="005A4BD9"/>
    <w:rsid w:val="005A4D8E"/>
    <w:rsid w:val="005A51C6"/>
    <w:rsid w:val="005A576D"/>
    <w:rsid w:val="005A5BAB"/>
    <w:rsid w:val="005A5CB3"/>
    <w:rsid w:val="005A6604"/>
    <w:rsid w:val="005A78DE"/>
    <w:rsid w:val="005A7E09"/>
    <w:rsid w:val="005B08A6"/>
    <w:rsid w:val="005B0F22"/>
    <w:rsid w:val="005B0F27"/>
    <w:rsid w:val="005B1A31"/>
    <w:rsid w:val="005B2B4F"/>
    <w:rsid w:val="005B2CB5"/>
    <w:rsid w:val="005B3439"/>
    <w:rsid w:val="005B4653"/>
    <w:rsid w:val="005B4E45"/>
    <w:rsid w:val="005B4E85"/>
    <w:rsid w:val="005B5E17"/>
    <w:rsid w:val="005B6419"/>
    <w:rsid w:val="005B6CC1"/>
    <w:rsid w:val="005C1943"/>
    <w:rsid w:val="005C22C2"/>
    <w:rsid w:val="005C501A"/>
    <w:rsid w:val="005C5673"/>
    <w:rsid w:val="005C6D52"/>
    <w:rsid w:val="005C6F67"/>
    <w:rsid w:val="005C7858"/>
    <w:rsid w:val="005C7A9A"/>
    <w:rsid w:val="005C7FCE"/>
    <w:rsid w:val="005D05FD"/>
    <w:rsid w:val="005D11A5"/>
    <w:rsid w:val="005D1A7D"/>
    <w:rsid w:val="005D3508"/>
    <w:rsid w:val="005D48E0"/>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1295"/>
    <w:rsid w:val="005F2075"/>
    <w:rsid w:val="005F2341"/>
    <w:rsid w:val="005F2B48"/>
    <w:rsid w:val="005F3ADE"/>
    <w:rsid w:val="005F432C"/>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07B8A"/>
    <w:rsid w:val="00611A97"/>
    <w:rsid w:val="00611B3C"/>
    <w:rsid w:val="00611C5C"/>
    <w:rsid w:val="00612686"/>
    <w:rsid w:val="006131E9"/>
    <w:rsid w:val="0061392C"/>
    <w:rsid w:val="00613C92"/>
    <w:rsid w:val="00615685"/>
    <w:rsid w:val="00616069"/>
    <w:rsid w:val="00616FDD"/>
    <w:rsid w:val="00617E42"/>
    <w:rsid w:val="00617E6C"/>
    <w:rsid w:val="006203EC"/>
    <w:rsid w:val="00622015"/>
    <w:rsid w:val="00622191"/>
    <w:rsid w:val="00622D62"/>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422F"/>
    <w:rsid w:val="006354FF"/>
    <w:rsid w:val="00635832"/>
    <w:rsid w:val="00635AB6"/>
    <w:rsid w:val="006361B1"/>
    <w:rsid w:val="006365E9"/>
    <w:rsid w:val="00636E18"/>
    <w:rsid w:val="00637228"/>
    <w:rsid w:val="00641532"/>
    <w:rsid w:val="00641E0B"/>
    <w:rsid w:val="0064225E"/>
    <w:rsid w:val="0064298D"/>
    <w:rsid w:val="00642C9A"/>
    <w:rsid w:val="0064364F"/>
    <w:rsid w:val="006445A3"/>
    <w:rsid w:val="00645115"/>
    <w:rsid w:val="006462F1"/>
    <w:rsid w:val="006464CF"/>
    <w:rsid w:val="00647A7A"/>
    <w:rsid w:val="00650724"/>
    <w:rsid w:val="0065124E"/>
    <w:rsid w:val="006513A0"/>
    <w:rsid w:val="00652C4F"/>
    <w:rsid w:val="0065308E"/>
    <w:rsid w:val="006541D1"/>
    <w:rsid w:val="00654860"/>
    <w:rsid w:val="00654F37"/>
    <w:rsid w:val="00655662"/>
    <w:rsid w:val="00656ABE"/>
    <w:rsid w:val="00657521"/>
    <w:rsid w:val="0066000B"/>
    <w:rsid w:val="0066030A"/>
    <w:rsid w:val="00660931"/>
    <w:rsid w:val="00661C43"/>
    <w:rsid w:val="00662C2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5F12"/>
    <w:rsid w:val="00687672"/>
    <w:rsid w:val="00690FB6"/>
    <w:rsid w:val="00691287"/>
    <w:rsid w:val="006919FC"/>
    <w:rsid w:val="00693034"/>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1FE2"/>
    <w:rsid w:val="006B2EBD"/>
    <w:rsid w:val="006B2F86"/>
    <w:rsid w:val="006B3690"/>
    <w:rsid w:val="006B37A6"/>
    <w:rsid w:val="006B3C0D"/>
    <w:rsid w:val="006C0355"/>
    <w:rsid w:val="006C090C"/>
    <w:rsid w:val="006C13D5"/>
    <w:rsid w:val="006C3A40"/>
    <w:rsid w:val="006C3F79"/>
    <w:rsid w:val="006C4E8E"/>
    <w:rsid w:val="006C53A0"/>
    <w:rsid w:val="006C5E9B"/>
    <w:rsid w:val="006C6D77"/>
    <w:rsid w:val="006C7240"/>
    <w:rsid w:val="006C74D6"/>
    <w:rsid w:val="006C7663"/>
    <w:rsid w:val="006D0EE8"/>
    <w:rsid w:val="006D12C7"/>
    <w:rsid w:val="006D175B"/>
    <w:rsid w:val="006D1BF7"/>
    <w:rsid w:val="006D23EF"/>
    <w:rsid w:val="006D457D"/>
    <w:rsid w:val="006D59F8"/>
    <w:rsid w:val="006D61DA"/>
    <w:rsid w:val="006D6AF7"/>
    <w:rsid w:val="006D6EBB"/>
    <w:rsid w:val="006D781E"/>
    <w:rsid w:val="006D7F80"/>
    <w:rsid w:val="006D7FC7"/>
    <w:rsid w:val="006E00DA"/>
    <w:rsid w:val="006E04F7"/>
    <w:rsid w:val="006E0941"/>
    <w:rsid w:val="006E0B68"/>
    <w:rsid w:val="006E0EAD"/>
    <w:rsid w:val="006E1DC5"/>
    <w:rsid w:val="006E2EFD"/>
    <w:rsid w:val="006E3420"/>
    <w:rsid w:val="006E39D7"/>
    <w:rsid w:val="006E3BD0"/>
    <w:rsid w:val="006E3FA9"/>
    <w:rsid w:val="006E4444"/>
    <w:rsid w:val="006E4D14"/>
    <w:rsid w:val="006E6866"/>
    <w:rsid w:val="006E702B"/>
    <w:rsid w:val="006E7DC6"/>
    <w:rsid w:val="006F01FC"/>
    <w:rsid w:val="006F0349"/>
    <w:rsid w:val="006F08E1"/>
    <w:rsid w:val="006F0E10"/>
    <w:rsid w:val="006F13D2"/>
    <w:rsid w:val="006F1A53"/>
    <w:rsid w:val="006F2196"/>
    <w:rsid w:val="006F2B29"/>
    <w:rsid w:val="006F3620"/>
    <w:rsid w:val="006F3D73"/>
    <w:rsid w:val="006F5A87"/>
    <w:rsid w:val="006F74BF"/>
    <w:rsid w:val="006F7BDA"/>
    <w:rsid w:val="00700C93"/>
    <w:rsid w:val="00701FC8"/>
    <w:rsid w:val="0070288A"/>
    <w:rsid w:val="00702D07"/>
    <w:rsid w:val="00703676"/>
    <w:rsid w:val="00706655"/>
    <w:rsid w:val="007078D6"/>
    <w:rsid w:val="007106DD"/>
    <w:rsid w:val="00710F87"/>
    <w:rsid w:val="007116F8"/>
    <w:rsid w:val="00712900"/>
    <w:rsid w:val="007133E9"/>
    <w:rsid w:val="007137B3"/>
    <w:rsid w:val="00713BD4"/>
    <w:rsid w:val="00714542"/>
    <w:rsid w:val="00714837"/>
    <w:rsid w:val="00714EF0"/>
    <w:rsid w:val="00714F04"/>
    <w:rsid w:val="00715087"/>
    <w:rsid w:val="00715712"/>
    <w:rsid w:val="007158C7"/>
    <w:rsid w:val="00715D0C"/>
    <w:rsid w:val="0071628B"/>
    <w:rsid w:val="00716F27"/>
    <w:rsid w:val="00717727"/>
    <w:rsid w:val="00717B00"/>
    <w:rsid w:val="00720DE3"/>
    <w:rsid w:val="00721C6A"/>
    <w:rsid w:val="007227EC"/>
    <w:rsid w:val="00722F2C"/>
    <w:rsid w:val="00723293"/>
    <w:rsid w:val="00723439"/>
    <w:rsid w:val="00723CB3"/>
    <w:rsid w:val="00724D46"/>
    <w:rsid w:val="007252D4"/>
    <w:rsid w:val="00727012"/>
    <w:rsid w:val="0072723A"/>
    <w:rsid w:val="00727D29"/>
    <w:rsid w:val="00730E2D"/>
    <w:rsid w:val="0073142D"/>
    <w:rsid w:val="007323B9"/>
    <w:rsid w:val="007330A4"/>
    <w:rsid w:val="00733C05"/>
    <w:rsid w:val="00734568"/>
    <w:rsid w:val="0073460E"/>
    <w:rsid w:val="007349F9"/>
    <w:rsid w:val="00734A12"/>
    <w:rsid w:val="00736EAE"/>
    <w:rsid w:val="00737F9B"/>
    <w:rsid w:val="007402C2"/>
    <w:rsid w:val="0074044C"/>
    <w:rsid w:val="007405B1"/>
    <w:rsid w:val="007419ED"/>
    <w:rsid w:val="00742174"/>
    <w:rsid w:val="00742C4C"/>
    <w:rsid w:val="007431F0"/>
    <w:rsid w:val="00743577"/>
    <w:rsid w:val="007435D3"/>
    <w:rsid w:val="00744220"/>
    <w:rsid w:val="00744C66"/>
    <w:rsid w:val="007464CC"/>
    <w:rsid w:val="00747238"/>
    <w:rsid w:val="00747B4B"/>
    <w:rsid w:val="00750679"/>
    <w:rsid w:val="00751EDA"/>
    <w:rsid w:val="00754851"/>
    <w:rsid w:val="007575D0"/>
    <w:rsid w:val="00757649"/>
    <w:rsid w:val="007609D5"/>
    <w:rsid w:val="00760C75"/>
    <w:rsid w:val="007611AD"/>
    <w:rsid w:val="0076126B"/>
    <w:rsid w:val="007613B3"/>
    <w:rsid w:val="00762FBA"/>
    <w:rsid w:val="00763FB6"/>
    <w:rsid w:val="0076473F"/>
    <w:rsid w:val="00764748"/>
    <w:rsid w:val="00765515"/>
    <w:rsid w:val="00766F28"/>
    <w:rsid w:val="007713E8"/>
    <w:rsid w:val="00771967"/>
    <w:rsid w:val="00771AA1"/>
    <w:rsid w:val="0077322C"/>
    <w:rsid w:val="00774715"/>
    <w:rsid w:val="007747EE"/>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43D"/>
    <w:rsid w:val="007D065D"/>
    <w:rsid w:val="007D1196"/>
    <w:rsid w:val="007D1E88"/>
    <w:rsid w:val="007D275E"/>
    <w:rsid w:val="007D2928"/>
    <w:rsid w:val="007D37BA"/>
    <w:rsid w:val="007D3850"/>
    <w:rsid w:val="007D3F75"/>
    <w:rsid w:val="007D4025"/>
    <w:rsid w:val="007D66F0"/>
    <w:rsid w:val="007D73E5"/>
    <w:rsid w:val="007D750A"/>
    <w:rsid w:val="007D7523"/>
    <w:rsid w:val="007E0084"/>
    <w:rsid w:val="007E0678"/>
    <w:rsid w:val="007E0A18"/>
    <w:rsid w:val="007E0EF4"/>
    <w:rsid w:val="007E1035"/>
    <w:rsid w:val="007E18D1"/>
    <w:rsid w:val="007E199C"/>
    <w:rsid w:val="007E2A76"/>
    <w:rsid w:val="007E4D07"/>
    <w:rsid w:val="007E581F"/>
    <w:rsid w:val="007E722A"/>
    <w:rsid w:val="007E72EF"/>
    <w:rsid w:val="007E770A"/>
    <w:rsid w:val="007E7968"/>
    <w:rsid w:val="007E7C0D"/>
    <w:rsid w:val="007F0CB0"/>
    <w:rsid w:val="007F1600"/>
    <w:rsid w:val="007F166D"/>
    <w:rsid w:val="007F1EDF"/>
    <w:rsid w:val="007F2054"/>
    <w:rsid w:val="007F299B"/>
    <w:rsid w:val="007F365B"/>
    <w:rsid w:val="007F3B50"/>
    <w:rsid w:val="007F4023"/>
    <w:rsid w:val="007F40D6"/>
    <w:rsid w:val="007F41A0"/>
    <w:rsid w:val="007F5346"/>
    <w:rsid w:val="007F742B"/>
    <w:rsid w:val="007F7CBC"/>
    <w:rsid w:val="00800C45"/>
    <w:rsid w:val="0080130F"/>
    <w:rsid w:val="008026FE"/>
    <w:rsid w:val="00802F9F"/>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0F7C"/>
    <w:rsid w:val="008412E1"/>
    <w:rsid w:val="008413A8"/>
    <w:rsid w:val="00842443"/>
    <w:rsid w:val="00843285"/>
    <w:rsid w:val="00843286"/>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0456"/>
    <w:rsid w:val="008721A5"/>
    <w:rsid w:val="00872847"/>
    <w:rsid w:val="00872C9B"/>
    <w:rsid w:val="00872E78"/>
    <w:rsid w:val="00872FDB"/>
    <w:rsid w:val="00873451"/>
    <w:rsid w:val="00873471"/>
    <w:rsid w:val="00873C14"/>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6E6"/>
    <w:rsid w:val="00890AD0"/>
    <w:rsid w:val="00890B66"/>
    <w:rsid w:val="00891109"/>
    <w:rsid w:val="00891BA0"/>
    <w:rsid w:val="00891BF0"/>
    <w:rsid w:val="00891F38"/>
    <w:rsid w:val="00893E72"/>
    <w:rsid w:val="00896BC2"/>
    <w:rsid w:val="00896C06"/>
    <w:rsid w:val="008A072D"/>
    <w:rsid w:val="008A1815"/>
    <w:rsid w:val="008A1C42"/>
    <w:rsid w:val="008A2D63"/>
    <w:rsid w:val="008A3348"/>
    <w:rsid w:val="008A3889"/>
    <w:rsid w:val="008A4BAF"/>
    <w:rsid w:val="008A5CE1"/>
    <w:rsid w:val="008A5EE6"/>
    <w:rsid w:val="008A6398"/>
    <w:rsid w:val="008B048B"/>
    <w:rsid w:val="008B08D3"/>
    <w:rsid w:val="008B19B7"/>
    <w:rsid w:val="008B19E5"/>
    <w:rsid w:val="008B1C16"/>
    <w:rsid w:val="008B2AC1"/>
    <w:rsid w:val="008B2D32"/>
    <w:rsid w:val="008B2E9A"/>
    <w:rsid w:val="008B2EB5"/>
    <w:rsid w:val="008B3ADE"/>
    <w:rsid w:val="008B44C3"/>
    <w:rsid w:val="008B5255"/>
    <w:rsid w:val="008B5613"/>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1695"/>
    <w:rsid w:val="008D3273"/>
    <w:rsid w:val="008D3CA0"/>
    <w:rsid w:val="008D4696"/>
    <w:rsid w:val="008D6805"/>
    <w:rsid w:val="008D6CA8"/>
    <w:rsid w:val="008D733D"/>
    <w:rsid w:val="008E0A95"/>
    <w:rsid w:val="008E136A"/>
    <w:rsid w:val="008E14A5"/>
    <w:rsid w:val="008E2336"/>
    <w:rsid w:val="008E27A7"/>
    <w:rsid w:val="008E33F9"/>
    <w:rsid w:val="008E34A2"/>
    <w:rsid w:val="008E34AE"/>
    <w:rsid w:val="008E4D1F"/>
    <w:rsid w:val="008E694D"/>
    <w:rsid w:val="008E78B4"/>
    <w:rsid w:val="008F047E"/>
    <w:rsid w:val="008F2841"/>
    <w:rsid w:val="008F2959"/>
    <w:rsid w:val="008F399F"/>
    <w:rsid w:val="008F39F1"/>
    <w:rsid w:val="008F432C"/>
    <w:rsid w:val="008F7ADB"/>
    <w:rsid w:val="009001B0"/>
    <w:rsid w:val="00900940"/>
    <w:rsid w:val="0090288E"/>
    <w:rsid w:val="009038F9"/>
    <w:rsid w:val="00905028"/>
    <w:rsid w:val="009055D6"/>
    <w:rsid w:val="00905AAB"/>
    <w:rsid w:val="009068C3"/>
    <w:rsid w:val="00906F53"/>
    <w:rsid w:val="0090775D"/>
    <w:rsid w:val="00910432"/>
    <w:rsid w:val="0091050C"/>
    <w:rsid w:val="00911865"/>
    <w:rsid w:val="00911A8D"/>
    <w:rsid w:val="009139AF"/>
    <w:rsid w:val="009148EC"/>
    <w:rsid w:val="00914BFD"/>
    <w:rsid w:val="00914CD2"/>
    <w:rsid w:val="00915EF9"/>
    <w:rsid w:val="009174F6"/>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AC3"/>
    <w:rsid w:val="00935EAC"/>
    <w:rsid w:val="00937529"/>
    <w:rsid w:val="00940DF7"/>
    <w:rsid w:val="00940F2E"/>
    <w:rsid w:val="00942405"/>
    <w:rsid w:val="00942818"/>
    <w:rsid w:val="00942AD5"/>
    <w:rsid w:val="00942F66"/>
    <w:rsid w:val="00943510"/>
    <w:rsid w:val="00943A66"/>
    <w:rsid w:val="00944371"/>
    <w:rsid w:val="00944529"/>
    <w:rsid w:val="00944CB3"/>
    <w:rsid w:val="00944D10"/>
    <w:rsid w:val="009450BA"/>
    <w:rsid w:val="009454B6"/>
    <w:rsid w:val="00946929"/>
    <w:rsid w:val="00946D29"/>
    <w:rsid w:val="009474F2"/>
    <w:rsid w:val="00950E7E"/>
    <w:rsid w:val="00952AEF"/>
    <w:rsid w:val="00955C33"/>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0EB5"/>
    <w:rsid w:val="00971E1A"/>
    <w:rsid w:val="00971EE1"/>
    <w:rsid w:val="00973197"/>
    <w:rsid w:val="00973E14"/>
    <w:rsid w:val="009753FB"/>
    <w:rsid w:val="00975439"/>
    <w:rsid w:val="009756E8"/>
    <w:rsid w:val="00977317"/>
    <w:rsid w:val="009802E6"/>
    <w:rsid w:val="009804C2"/>
    <w:rsid w:val="00980C11"/>
    <w:rsid w:val="00981086"/>
    <w:rsid w:val="0098257D"/>
    <w:rsid w:val="0098302F"/>
    <w:rsid w:val="009831C8"/>
    <w:rsid w:val="00983D28"/>
    <w:rsid w:val="0098474E"/>
    <w:rsid w:val="00986110"/>
    <w:rsid w:val="009869D5"/>
    <w:rsid w:val="00987232"/>
    <w:rsid w:val="009877E3"/>
    <w:rsid w:val="00990EC7"/>
    <w:rsid w:val="00991B95"/>
    <w:rsid w:val="00991D3E"/>
    <w:rsid w:val="00992840"/>
    <w:rsid w:val="00994C6F"/>
    <w:rsid w:val="00994CC4"/>
    <w:rsid w:val="00995379"/>
    <w:rsid w:val="009968AC"/>
    <w:rsid w:val="00996911"/>
    <w:rsid w:val="00996DB9"/>
    <w:rsid w:val="009976E7"/>
    <w:rsid w:val="009A044E"/>
    <w:rsid w:val="009A10AD"/>
    <w:rsid w:val="009A10DD"/>
    <w:rsid w:val="009A11ED"/>
    <w:rsid w:val="009A1795"/>
    <w:rsid w:val="009A1CB0"/>
    <w:rsid w:val="009A2547"/>
    <w:rsid w:val="009A4D66"/>
    <w:rsid w:val="009A5821"/>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B7A5A"/>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EAF"/>
    <w:rsid w:val="009D2F47"/>
    <w:rsid w:val="009D2FB9"/>
    <w:rsid w:val="009D3067"/>
    <w:rsid w:val="009D39EE"/>
    <w:rsid w:val="009D3B45"/>
    <w:rsid w:val="009D4E78"/>
    <w:rsid w:val="009D5487"/>
    <w:rsid w:val="009D55B8"/>
    <w:rsid w:val="009D674E"/>
    <w:rsid w:val="009D6791"/>
    <w:rsid w:val="009D7835"/>
    <w:rsid w:val="009D7CDF"/>
    <w:rsid w:val="009D7EFC"/>
    <w:rsid w:val="009E05AC"/>
    <w:rsid w:val="009E1649"/>
    <w:rsid w:val="009E172B"/>
    <w:rsid w:val="009E1B55"/>
    <w:rsid w:val="009E204D"/>
    <w:rsid w:val="009E253A"/>
    <w:rsid w:val="009E25F5"/>
    <w:rsid w:val="009E39C0"/>
    <w:rsid w:val="009E4CE0"/>
    <w:rsid w:val="009E523E"/>
    <w:rsid w:val="009E5367"/>
    <w:rsid w:val="009E7B93"/>
    <w:rsid w:val="009F0062"/>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2F5D"/>
    <w:rsid w:val="00A031CC"/>
    <w:rsid w:val="00A0323B"/>
    <w:rsid w:val="00A04192"/>
    <w:rsid w:val="00A04474"/>
    <w:rsid w:val="00A0482C"/>
    <w:rsid w:val="00A0762A"/>
    <w:rsid w:val="00A0776D"/>
    <w:rsid w:val="00A0778F"/>
    <w:rsid w:val="00A1004D"/>
    <w:rsid w:val="00A1182A"/>
    <w:rsid w:val="00A13922"/>
    <w:rsid w:val="00A13DB8"/>
    <w:rsid w:val="00A13F1D"/>
    <w:rsid w:val="00A1482D"/>
    <w:rsid w:val="00A14AA1"/>
    <w:rsid w:val="00A155ED"/>
    <w:rsid w:val="00A15F37"/>
    <w:rsid w:val="00A16191"/>
    <w:rsid w:val="00A163E3"/>
    <w:rsid w:val="00A220C0"/>
    <w:rsid w:val="00A22229"/>
    <w:rsid w:val="00A2295F"/>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3F81"/>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42"/>
    <w:rsid w:val="00A711B7"/>
    <w:rsid w:val="00A7149F"/>
    <w:rsid w:val="00A72C93"/>
    <w:rsid w:val="00A72DB7"/>
    <w:rsid w:val="00A72FF3"/>
    <w:rsid w:val="00A7410C"/>
    <w:rsid w:val="00A754A0"/>
    <w:rsid w:val="00A76082"/>
    <w:rsid w:val="00A7784F"/>
    <w:rsid w:val="00A80A07"/>
    <w:rsid w:val="00A811D6"/>
    <w:rsid w:val="00A81F02"/>
    <w:rsid w:val="00A82860"/>
    <w:rsid w:val="00A82F07"/>
    <w:rsid w:val="00A832BA"/>
    <w:rsid w:val="00A8331B"/>
    <w:rsid w:val="00A84963"/>
    <w:rsid w:val="00A84D9C"/>
    <w:rsid w:val="00A85048"/>
    <w:rsid w:val="00A85A29"/>
    <w:rsid w:val="00A86552"/>
    <w:rsid w:val="00A86CD7"/>
    <w:rsid w:val="00A86D7C"/>
    <w:rsid w:val="00A8750A"/>
    <w:rsid w:val="00A9017B"/>
    <w:rsid w:val="00A90878"/>
    <w:rsid w:val="00A91266"/>
    <w:rsid w:val="00A9266A"/>
    <w:rsid w:val="00A9310D"/>
    <w:rsid w:val="00A9367D"/>
    <w:rsid w:val="00A950F4"/>
    <w:rsid w:val="00A9567A"/>
    <w:rsid w:val="00A96783"/>
    <w:rsid w:val="00A97098"/>
    <w:rsid w:val="00A97337"/>
    <w:rsid w:val="00A97B08"/>
    <w:rsid w:val="00A97D41"/>
    <w:rsid w:val="00A97F5A"/>
    <w:rsid w:val="00A97F92"/>
    <w:rsid w:val="00AA253F"/>
    <w:rsid w:val="00AA25AC"/>
    <w:rsid w:val="00AA28D2"/>
    <w:rsid w:val="00AA2D58"/>
    <w:rsid w:val="00AA4A27"/>
    <w:rsid w:val="00AA4C06"/>
    <w:rsid w:val="00AA5C1F"/>
    <w:rsid w:val="00AA7E5F"/>
    <w:rsid w:val="00AB0ED1"/>
    <w:rsid w:val="00AB16F3"/>
    <w:rsid w:val="00AB23B0"/>
    <w:rsid w:val="00AB2567"/>
    <w:rsid w:val="00AB3537"/>
    <w:rsid w:val="00AB365A"/>
    <w:rsid w:val="00AB3A63"/>
    <w:rsid w:val="00AB4201"/>
    <w:rsid w:val="00AB453D"/>
    <w:rsid w:val="00AB48D1"/>
    <w:rsid w:val="00AB4CFC"/>
    <w:rsid w:val="00AB58F2"/>
    <w:rsid w:val="00AB5E9F"/>
    <w:rsid w:val="00AB61EF"/>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4002"/>
    <w:rsid w:val="00AE6E19"/>
    <w:rsid w:val="00AE724E"/>
    <w:rsid w:val="00AE76A8"/>
    <w:rsid w:val="00AF09A0"/>
    <w:rsid w:val="00AF1091"/>
    <w:rsid w:val="00AF18A6"/>
    <w:rsid w:val="00AF18CA"/>
    <w:rsid w:val="00AF1CFD"/>
    <w:rsid w:val="00AF2306"/>
    <w:rsid w:val="00AF2617"/>
    <w:rsid w:val="00AF2AE5"/>
    <w:rsid w:val="00AF2B00"/>
    <w:rsid w:val="00AF3AD9"/>
    <w:rsid w:val="00AF4640"/>
    <w:rsid w:val="00AF5145"/>
    <w:rsid w:val="00AF58F3"/>
    <w:rsid w:val="00AF5ABA"/>
    <w:rsid w:val="00B00317"/>
    <w:rsid w:val="00B0149D"/>
    <w:rsid w:val="00B014EC"/>
    <w:rsid w:val="00B04FE2"/>
    <w:rsid w:val="00B05126"/>
    <w:rsid w:val="00B05777"/>
    <w:rsid w:val="00B05B5E"/>
    <w:rsid w:val="00B06527"/>
    <w:rsid w:val="00B10C3C"/>
    <w:rsid w:val="00B11271"/>
    <w:rsid w:val="00B112A5"/>
    <w:rsid w:val="00B116FF"/>
    <w:rsid w:val="00B118CF"/>
    <w:rsid w:val="00B12833"/>
    <w:rsid w:val="00B12D4B"/>
    <w:rsid w:val="00B140E9"/>
    <w:rsid w:val="00B14557"/>
    <w:rsid w:val="00B1471D"/>
    <w:rsid w:val="00B15438"/>
    <w:rsid w:val="00B17281"/>
    <w:rsid w:val="00B2131B"/>
    <w:rsid w:val="00B21BF3"/>
    <w:rsid w:val="00B222E2"/>
    <w:rsid w:val="00B230A8"/>
    <w:rsid w:val="00B2310C"/>
    <w:rsid w:val="00B23328"/>
    <w:rsid w:val="00B233EC"/>
    <w:rsid w:val="00B23B81"/>
    <w:rsid w:val="00B242B1"/>
    <w:rsid w:val="00B24E54"/>
    <w:rsid w:val="00B25994"/>
    <w:rsid w:val="00B267FA"/>
    <w:rsid w:val="00B27646"/>
    <w:rsid w:val="00B31A01"/>
    <w:rsid w:val="00B31E3C"/>
    <w:rsid w:val="00B32C18"/>
    <w:rsid w:val="00B33037"/>
    <w:rsid w:val="00B33732"/>
    <w:rsid w:val="00B35C7E"/>
    <w:rsid w:val="00B36448"/>
    <w:rsid w:val="00B377F6"/>
    <w:rsid w:val="00B416B1"/>
    <w:rsid w:val="00B418F4"/>
    <w:rsid w:val="00B426A2"/>
    <w:rsid w:val="00B43376"/>
    <w:rsid w:val="00B44209"/>
    <w:rsid w:val="00B44CCC"/>
    <w:rsid w:val="00B44EAC"/>
    <w:rsid w:val="00B465C8"/>
    <w:rsid w:val="00B472C9"/>
    <w:rsid w:val="00B47F43"/>
    <w:rsid w:val="00B506AC"/>
    <w:rsid w:val="00B50773"/>
    <w:rsid w:val="00B50D1B"/>
    <w:rsid w:val="00B50E2C"/>
    <w:rsid w:val="00B51364"/>
    <w:rsid w:val="00B517ED"/>
    <w:rsid w:val="00B52041"/>
    <w:rsid w:val="00B52F1D"/>
    <w:rsid w:val="00B53170"/>
    <w:rsid w:val="00B536A8"/>
    <w:rsid w:val="00B53B00"/>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9C9"/>
    <w:rsid w:val="00B71C25"/>
    <w:rsid w:val="00B71D4B"/>
    <w:rsid w:val="00B7214B"/>
    <w:rsid w:val="00B73636"/>
    <w:rsid w:val="00B7370E"/>
    <w:rsid w:val="00B73C08"/>
    <w:rsid w:val="00B7439C"/>
    <w:rsid w:val="00B743D7"/>
    <w:rsid w:val="00B7657E"/>
    <w:rsid w:val="00B76793"/>
    <w:rsid w:val="00B76C42"/>
    <w:rsid w:val="00B76CBC"/>
    <w:rsid w:val="00B770C9"/>
    <w:rsid w:val="00B80C63"/>
    <w:rsid w:val="00B819ED"/>
    <w:rsid w:val="00B8390E"/>
    <w:rsid w:val="00B83CA3"/>
    <w:rsid w:val="00B84219"/>
    <w:rsid w:val="00B84275"/>
    <w:rsid w:val="00B84382"/>
    <w:rsid w:val="00B85068"/>
    <w:rsid w:val="00B85154"/>
    <w:rsid w:val="00B85546"/>
    <w:rsid w:val="00B85D8E"/>
    <w:rsid w:val="00B87377"/>
    <w:rsid w:val="00B87EA2"/>
    <w:rsid w:val="00B913AA"/>
    <w:rsid w:val="00B91481"/>
    <w:rsid w:val="00B91B01"/>
    <w:rsid w:val="00B9205C"/>
    <w:rsid w:val="00B925BA"/>
    <w:rsid w:val="00B9335D"/>
    <w:rsid w:val="00B94400"/>
    <w:rsid w:val="00B95673"/>
    <w:rsid w:val="00B961C8"/>
    <w:rsid w:val="00B96C2A"/>
    <w:rsid w:val="00B96FD4"/>
    <w:rsid w:val="00B97971"/>
    <w:rsid w:val="00BA04E1"/>
    <w:rsid w:val="00BA18D1"/>
    <w:rsid w:val="00BA19E0"/>
    <w:rsid w:val="00BA1F8A"/>
    <w:rsid w:val="00BA258C"/>
    <w:rsid w:val="00BA3EDB"/>
    <w:rsid w:val="00BA4441"/>
    <w:rsid w:val="00BA46B0"/>
    <w:rsid w:val="00BA47DA"/>
    <w:rsid w:val="00BA4E91"/>
    <w:rsid w:val="00BA5E59"/>
    <w:rsid w:val="00BA6D0B"/>
    <w:rsid w:val="00BA75F2"/>
    <w:rsid w:val="00BB0F17"/>
    <w:rsid w:val="00BB1A4D"/>
    <w:rsid w:val="00BB228F"/>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509"/>
    <w:rsid w:val="00BD483C"/>
    <w:rsid w:val="00BD4931"/>
    <w:rsid w:val="00BD499A"/>
    <w:rsid w:val="00BD532D"/>
    <w:rsid w:val="00BD6F03"/>
    <w:rsid w:val="00BD6FDA"/>
    <w:rsid w:val="00BD77B5"/>
    <w:rsid w:val="00BD7A55"/>
    <w:rsid w:val="00BE00E4"/>
    <w:rsid w:val="00BE0270"/>
    <w:rsid w:val="00BE0809"/>
    <w:rsid w:val="00BE0965"/>
    <w:rsid w:val="00BE0D73"/>
    <w:rsid w:val="00BE0DD9"/>
    <w:rsid w:val="00BE180E"/>
    <w:rsid w:val="00BE19CD"/>
    <w:rsid w:val="00BE21A8"/>
    <w:rsid w:val="00BE2827"/>
    <w:rsid w:val="00BE2CB6"/>
    <w:rsid w:val="00BE331A"/>
    <w:rsid w:val="00BE391E"/>
    <w:rsid w:val="00BE4444"/>
    <w:rsid w:val="00BE48B7"/>
    <w:rsid w:val="00BE4C20"/>
    <w:rsid w:val="00BE53BC"/>
    <w:rsid w:val="00BE5574"/>
    <w:rsid w:val="00BE5CDB"/>
    <w:rsid w:val="00BE5DF3"/>
    <w:rsid w:val="00BE61B0"/>
    <w:rsid w:val="00BE6BFF"/>
    <w:rsid w:val="00BE74B4"/>
    <w:rsid w:val="00BE74D9"/>
    <w:rsid w:val="00BF01E3"/>
    <w:rsid w:val="00BF0B84"/>
    <w:rsid w:val="00BF19A0"/>
    <w:rsid w:val="00BF2280"/>
    <w:rsid w:val="00BF4843"/>
    <w:rsid w:val="00BF4B69"/>
    <w:rsid w:val="00BF5F81"/>
    <w:rsid w:val="00BF6456"/>
    <w:rsid w:val="00BF6462"/>
    <w:rsid w:val="00BF6F8D"/>
    <w:rsid w:val="00BF7738"/>
    <w:rsid w:val="00C00471"/>
    <w:rsid w:val="00C011B3"/>
    <w:rsid w:val="00C014C6"/>
    <w:rsid w:val="00C01839"/>
    <w:rsid w:val="00C01BF8"/>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D7D"/>
    <w:rsid w:val="00C21FB0"/>
    <w:rsid w:val="00C24142"/>
    <w:rsid w:val="00C257EC"/>
    <w:rsid w:val="00C25B6F"/>
    <w:rsid w:val="00C25CA5"/>
    <w:rsid w:val="00C2605E"/>
    <w:rsid w:val="00C2648E"/>
    <w:rsid w:val="00C26B97"/>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F00"/>
    <w:rsid w:val="00C43453"/>
    <w:rsid w:val="00C44924"/>
    <w:rsid w:val="00C45097"/>
    <w:rsid w:val="00C45C93"/>
    <w:rsid w:val="00C461EB"/>
    <w:rsid w:val="00C50077"/>
    <w:rsid w:val="00C51720"/>
    <w:rsid w:val="00C520D7"/>
    <w:rsid w:val="00C52B35"/>
    <w:rsid w:val="00C5372C"/>
    <w:rsid w:val="00C53769"/>
    <w:rsid w:val="00C53EEF"/>
    <w:rsid w:val="00C55CD2"/>
    <w:rsid w:val="00C55E91"/>
    <w:rsid w:val="00C562B4"/>
    <w:rsid w:val="00C56832"/>
    <w:rsid w:val="00C56C08"/>
    <w:rsid w:val="00C57869"/>
    <w:rsid w:val="00C60DF5"/>
    <w:rsid w:val="00C60FED"/>
    <w:rsid w:val="00C627A3"/>
    <w:rsid w:val="00C64C2F"/>
    <w:rsid w:val="00C6528A"/>
    <w:rsid w:val="00C6546A"/>
    <w:rsid w:val="00C66586"/>
    <w:rsid w:val="00C665F2"/>
    <w:rsid w:val="00C6749F"/>
    <w:rsid w:val="00C676D3"/>
    <w:rsid w:val="00C7054B"/>
    <w:rsid w:val="00C71439"/>
    <w:rsid w:val="00C72AE9"/>
    <w:rsid w:val="00C7375A"/>
    <w:rsid w:val="00C74048"/>
    <w:rsid w:val="00C74654"/>
    <w:rsid w:val="00C74775"/>
    <w:rsid w:val="00C74F0F"/>
    <w:rsid w:val="00C754A8"/>
    <w:rsid w:val="00C7556D"/>
    <w:rsid w:val="00C75F55"/>
    <w:rsid w:val="00C76725"/>
    <w:rsid w:val="00C81867"/>
    <w:rsid w:val="00C81AAE"/>
    <w:rsid w:val="00C81EBC"/>
    <w:rsid w:val="00C847AA"/>
    <w:rsid w:val="00C84C3A"/>
    <w:rsid w:val="00C86300"/>
    <w:rsid w:val="00C8679C"/>
    <w:rsid w:val="00C8685C"/>
    <w:rsid w:val="00C87645"/>
    <w:rsid w:val="00C87795"/>
    <w:rsid w:val="00C8788F"/>
    <w:rsid w:val="00C878A2"/>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0C31"/>
    <w:rsid w:val="00CB0D84"/>
    <w:rsid w:val="00CB1580"/>
    <w:rsid w:val="00CB1A38"/>
    <w:rsid w:val="00CB21B3"/>
    <w:rsid w:val="00CB4072"/>
    <w:rsid w:val="00CB484D"/>
    <w:rsid w:val="00CB517A"/>
    <w:rsid w:val="00CB61C9"/>
    <w:rsid w:val="00CB62EE"/>
    <w:rsid w:val="00CB7176"/>
    <w:rsid w:val="00CB730C"/>
    <w:rsid w:val="00CC0F4A"/>
    <w:rsid w:val="00CC0F68"/>
    <w:rsid w:val="00CC22B1"/>
    <w:rsid w:val="00CC2A03"/>
    <w:rsid w:val="00CC2C93"/>
    <w:rsid w:val="00CC2DC4"/>
    <w:rsid w:val="00CC384C"/>
    <w:rsid w:val="00CC3988"/>
    <w:rsid w:val="00CC52C9"/>
    <w:rsid w:val="00CC53F4"/>
    <w:rsid w:val="00CC5AF3"/>
    <w:rsid w:val="00CC68BF"/>
    <w:rsid w:val="00CC6958"/>
    <w:rsid w:val="00CC7C45"/>
    <w:rsid w:val="00CD13B1"/>
    <w:rsid w:val="00CD2107"/>
    <w:rsid w:val="00CD28EC"/>
    <w:rsid w:val="00CD2DC8"/>
    <w:rsid w:val="00CD561D"/>
    <w:rsid w:val="00CD6EF5"/>
    <w:rsid w:val="00CE052C"/>
    <w:rsid w:val="00CE0CE1"/>
    <w:rsid w:val="00CE20E9"/>
    <w:rsid w:val="00CE3DD3"/>
    <w:rsid w:val="00CE4053"/>
    <w:rsid w:val="00CE4954"/>
    <w:rsid w:val="00CE5016"/>
    <w:rsid w:val="00CE596E"/>
    <w:rsid w:val="00CE5FEF"/>
    <w:rsid w:val="00CF1160"/>
    <w:rsid w:val="00CF3482"/>
    <w:rsid w:val="00CF4940"/>
    <w:rsid w:val="00CF4CD4"/>
    <w:rsid w:val="00CF5293"/>
    <w:rsid w:val="00CF72AC"/>
    <w:rsid w:val="00CF7439"/>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061"/>
    <w:rsid w:val="00D15D74"/>
    <w:rsid w:val="00D1722E"/>
    <w:rsid w:val="00D176B7"/>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3CFC"/>
    <w:rsid w:val="00D344F3"/>
    <w:rsid w:val="00D3524B"/>
    <w:rsid w:val="00D357A4"/>
    <w:rsid w:val="00D36238"/>
    <w:rsid w:val="00D36EB1"/>
    <w:rsid w:val="00D375AE"/>
    <w:rsid w:val="00D4029D"/>
    <w:rsid w:val="00D44DF2"/>
    <w:rsid w:val="00D44EDE"/>
    <w:rsid w:val="00D451A5"/>
    <w:rsid w:val="00D451C1"/>
    <w:rsid w:val="00D45283"/>
    <w:rsid w:val="00D4541B"/>
    <w:rsid w:val="00D477C3"/>
    <w:rsid w:val="00D47CB0"/>
    <w:rsid w:val="00D47DE7"/>
    <w:rsid w:val="00D51271"/>
    <w:rsid w:val="00D51828"/>
    <w:rsid w:val="00D53179"/>
    <w:rsid w:val="00D53DC5"/>
    <w:rsid w:val="00D5465D"/>
    <w:rsid w:val="00D5517C"/>
    <w:rsid w:val="00D55406"/>
    <w:rsid w:val="00D55E9A"/>
    <w:rsid w:val="00D5615B"/>
    <w:rsid w:val="00D56E84"/>
    <w:rsid w:val="00D60759"/>
    <w:rsid w:val="00D6293F"/>
    <w:rsid w:val="00D662E4"/>
    <w:rsid w:val="00D670D3"/>
    <w:rsid w:val="00D67470"/>
    <w:rsid w:val="00D6792F"/>
    <w:rsid w:val="00D67B99"/>
    <w:rsid w:val="00D67FC9"/>
    <w:rsid w:val="00D709B5"/>
    <w:rsid w:val="00D729D1"/>
    <w:rsid w:val="00D72B2A"/>
    <w:rsid w:val="00D736FB"/>
    <w:rsid w:val="00D73AAF"/>
    <w:rsid w:val="00D73B35"/>
    <w:rsid w:val="00D74B08"/>
    <w:rsid w:val="00D75B0B"/>
    <w:rsid w:val="00D77388"/>
    <w:rsid w:val="00D775D2"/>
    <w:rsid w:val="00D77855"/>
    <w:rsid w:val="00D80D94"/>
    <w:rsid w:val="00D8118D"/>
    <w:rsid w:val="00D82637"/>
    <w:rsid w:val="00D83283"/>
    <w:rsid w:val="00D83860"/>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384"/>
    <w:rsid w:val="00D9583F"/>
    <w:rsid w:val="00D96C34"/>
    <w:rsid w:val="00D970E9"/>
    <w:rsid w:val="00D97E49"/>
    <w:rsid w:val="00DA073F"/>
    <w:rsid w:val="00DA08BF"/>
    <w:rsid w:val="00DA12F6"/>
    <w:rsid w:val="00DA1419"/>
    <w:rsid w:val="00DA2603"/>
    <w:rsid w:val="00DA2818"/>
    <w:rsid w:val="00DA2876"/>
    <w:rsid w:val="00DA40F8"/>
    <w:rsid w:val="00DA4875"/>
    <w:rsid w:val="00DA4917"/>
    <w:rsid w:val="00DA4E73"/>
    <w:rsid w:val="00DA5117"/>
    <w:rsid w:val="00DA61B6"/>
    <w:rsid w:val="00DA68C1"/>
    <w:rsid w:val="00DA71E0"/>
    <w:rsid w:val="00DA7808"/>
    <w:rsid w:val="00DB35F8"/>
    <w:rsid w:val="00DB57B7"/>
    <w:rsid w:val="00DB67E5"/>
    <w:rsid w:val="00DB68CD"/>
    <w:rsid w:val="00DB73AB"/>
    <w:rsid w:val="00DB761D"/>
    <w:rsid w:val="00DB7C28"/>
    <w:rsid w:val="00DC13F9"/>
    <w:rsid w:val="00DC1D72"/>
    <w:rsid w:val="00DC2E2C"/>
    <w:rsid w:val="00DC4E8F"/>
    <w:rsid w:val="00DC545A"/>
    <w:rsid w:val="00DC585F"/>
    <w:rsid w:val="00DC77F2"/>
    <w:rsid w:val="00DC78DB"/>
    <w:rsid w:val="00DC7F7D"/>
    <w:rsid w:val="00DD028A"/>
    <w:rsid w:val="00DD08C1"/>
    <w:rsid w:val="00DD19C8"/>
    <w:rsid w:val="00DD2278"/>
    <w:rsid w:val="00DD4F3E"/>
    <w:rsid w:val="00DD67A9"/>
    <w:rsid w:val="00DD6EA5"/>
    <w:rsid w:val="00DD75C0"/>
    <w:rsid w:val="00DD7C85"/>
    <w:rsid w:val="00DE2574"/>
    <w:rsid w:val="00DE2C5D"/>
    <w:rsid w:val="00DE4BD0"/>
    <w:rsid w:val="00DE58C9"/>
    <w:rsid w:val="00DE58D7"/>
    <w:rsid w:val="00DE62BC"/>
    <w:rsid w:val="00DE7572"/>
    <w:rsid w:val="00DE7BEA"/>
    <w:rsid w:val="00DE7DAF"/>
    <w:rsid w:val="00DF154D"/>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3"/>
    <w:rsid w:val="00E05C1A"/>
    <w:rsid w:val="00E064CA"/>
    <w:rsid w:val="00E06813"/>
    <w:rsid w:val="00E10053"/>
    <w:rsid w:val="00E111E4"/>
    <w:rsid w:val="00E11521"/>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29D"/>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7AC"/>
    <w:rsid w:val="00E413A5"/>
    <w:rsid w:val="00E41AF8"/>
    <w:rsid w:val="00E4296A"/>
    <w:rsid w:val="00E43380"/>
    <w:rsid w:val="00E44274"/>
    <w:rsid w:val="00E44603"/>
    <w:rsid w:val="00E44F24"/>
    <w:rsid w:val="00E455B4"/>
    <w:rsid w:val="00E46FA7"/>
    <w:rsid w:val="00E46FBA"/>
    <w:rsid w:val="00E47328"/>
    <w:rsid w:val="00E479DF"/>
    <w:rsid w:val="00E505D8"/>
    <w:rsid w:val="00E50B83"/>
    <w:rsid w:val="00E51530"/>
    <w:rsid w:val="00E5252F"/>
    <w:rsid w:val="00E528C6"/>
    <w:rsid w:val="00E52B26"/>
    <w:rsid w:val="00E535BD"/>
    <w:rsid w:val="00E54596"/>
    <w:rsid w:val="00E55578"/>
    <w:rsid w:val="00E56000"/>
    <w:rsid w:val="00E56378"/>
    <w:rsid w:val="00E57208"/>
    <w:rsid w:val="00E57457"/>
    <w:rsid w:val="00E60175"/>
    <w:rsid w:val="00E6160E"/>
    <w:rsid w:val="00E63F00"/>
    <w:rsid w:val="00E642DC"/>
    <w:rsid w:val="00E64E57"/>
    <w:rsid w:val="00E64F71"/>
    <w:rsid w:val="00E64FC2"/>
    <w:rsid w:val="00E65240"/>
    <w:rsid w:val="00E67590"/>
    <w:rsid w:val="00E67A1A"/>
    <w:rsid w:val="00E703B1"/>
    <w:rsid w:val="00E7045C"/>
    <w:rsid w:val="00E718EA"/>
    <w:rsid w:val="00E71A6E"/>
    <w:rsid w:val="00E72E55"/>
    <w:rsid w:val="00E733D4"/>
    <w:rsid w:val="00E74228"/>
    <w:rsid w:val="00E74759"/>
    <w:rsid w:val="00E74A24"/>
    <w:rsid w:val="00E74E48"/>
    <w:rsid w:val="00E76B64"/>
    <w:rsid w:val="00E76BBE"/>
    <w:rsid w:val="00E77101"/>
    <w:rsid w:val="00E808C9"/>
    <w:rsid w:val="00E80943"/>
    <w:rsid w:val="00E8112D"/>
    <w:rsid w:val="00E81135"/>
    <w:rsid w:val="00E8148D"/>
    <w:rsid w:val="00E818C3"/>
    <w:rsid w:val="00E82DCF"/>
    <w:rsid w:val="00E84DC4"/>
    <w:rsid w:val="00E8561A"/>
    <w:rsid w:val="00E85DE8"/>
    <w:rsid w:val="00E86672"/>
    <w:rsid w:val="00E86E0C"/>
    <w:rsid w:val="00E87FB1"/>
    <w:rsid w:val="00E900CF"/>
    <w:rsid w:val="00E908C6"/>
    <w:rsid w:val="00E93450"/>
    <w:rsid w:val="00E9372A"/>
    <w:rsid w:val="00E93AFD"/>
    <w:rsid w:val="00E95441"/>
    <w:rsid w:val="00E97970"/>
    <w:rsid w:val="00E979A5"/>
    <w:rsid w:val="00E97C50"/>
    <w:rsid w:val="00EA03D8"/>
    <w:rsid w:val="00EA0DB1"/>
    <w:rsid w:val="00EA507E"/>
    <w:rsid w:val="00EA5747"/>
    <w:rsid w:val="00EA73BA"/>
    <w:rsid w:val="00EA7745"/>
    <w:rsid w:val="00EB0F28"/>
    <w:rsid w:val="00EB2336"/>
    <w:rsid w:val="00EB3B2C"/>
    <w:rsid w:val="00EB3F96"/>
    <w:rsid w:val="00EB3FA2"/>
    <w:rsid w:val="00EB4281"/>
    <w:rsid w:val="00EB4A81"/>
    <w:rsid w:val="00EB5264"/>
    <w:rsid w:val="00EB52AE"/>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3A2"/>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6AE"/>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2F74"/>
    <w:rsid w:val="00F1303C"/>
    <w:rsid w:val="00F132E8"/>
    <w:rsid w:val="00F14FD4"/>
    <w:rsid w:val="00F15550"/>
    <w:rsid w:val="00F15E8D"/>
    <w:rsid w:val="00F175AF"/>
    <w:rsid w:val="00F205FB"/>
    <w:rsid w:val="00F20DD7"/>
    <w:rsid w:val="00F21CF8"/>
    <w:rsid w:val="00F22A61"/>
    <w:rsid w:val="00F2357B"/>
    <w:rsid w:val="00F23602"/>
    <w:rsid w:val="00F236DC"/>
    <w:rsid w:val="00F2464A"/>
    <w:rsid w:val="00F247BC"/>
    <w:rsid w:val="00F2482C"/>
    <w:rsid w:val="00F25233"/>
    <w:rsid w:val="00F25CBC"/>
    <w:rsid w:val="00F25EAF"/>
    <w:rsid w:val="00F26AC0"/>
    <w:rsid w:val="00F2719D"/>
    <w:rsid w:val="00F27940"/>
    <w:rsid w:val="00F27A13"/>
    <w:rsid w:val="00F27FA1"/>
    <w:rsid w:val="00F3032E"/>
    <w:rsid w:val="00F3124A"/>
    <w:rsid w:val="00F313E8"/>
    <w:rsid w:val="00F31EFE"/>
    <w:rsid w:val="00F3277D"/>
    <w:rsid w:val="00F32822"/>
    <w:rsid w:val="00F3329B"/>
    <w:rsid w:val="00F33D35"/>
    <w:rsid w:val="00F340F0"/>
    <w:rsid w:val="00F343CC"/>
    <w:rsid w:val="00F34F38"/>
    <w:rsid w:val="00F350F7"/>
    <w:rsid w:val="00F35253"/>
    <w:rsid w:val="00F36405"/>
    <w:rsid w:val="00F36950"/>
    <w:rsid w:val="00F371E7"/>
    <w:rsid w:val="00F3733F"/>
    <w:rsid w:val="00F3738F"/>
    <w:rsid w:val="00F37625"/>
    <w:rsid w:val="00F41E87"/>
    <w:rsid w:val="00F42120"/>
    <w:rsid w:val="00F428F8"/>
    <w:rsid w:val="00F43B83"/>
    <w:rsid w:val="00F44EBF"/>
    <w:rsid w:val="00F45EB3"/>
    <w:rsid w:val="00F47502"/>
    <w:rsid w:val="00F47697"/>
    <w:rsid w:val="00F517F3"/>
    <w:rsid w:val="00F520B3"/>
    <w:rsid w:val="00F53132"/>
    <w:rsid w:val="00F531DC"/>
    <w:rsid w:val="00F538EF"/>
    <w:rsid w:val="00F53F88"/>
    <w:rsid w:val="00F54274"/>
    <w:rsid w:val="00F5456A"/>
    <w:rsid w:val="00F545FC"/>
    <w:rsid w:val="00F547FE"/>
    <w:rsid w:val="00F54E12"/>
    <w:rsid w:val="00F56446"/>
    <w:rsid w:val="00F573F1"/>
    <w:rsid w:val="00F57AF7"/>
    <w:rsid w:val="00F57CAC"/>
    <w:rsid w:val="00F61B21"/>
    <w:rsid w:val="00F61FFC"/>
    <w:rsid w:val="00F625CA"/>
    <w:rsid w:val="00F62A93"/>
    <w:rsid w:val="00F62AF9"/>
    <w:rsid w:val="00F62C6B"/>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31D"/>
    <w:rsid w:val="00F87CAF"/>
    <w:rsid w:val="00F87FA4"/>
    <w:rsid w:val="00F90063"/>
    <w:rsid w:val="00F90A3D"/>
    <w:rsid w:val="00F90EC0"/>
    <w:rsid w:val="00F91222"/>
    <w:rsid w:val="00F92352"/>
    <w:rsid w:val="00F9267B"/>
    <w:rsid w:val="00F93B7A"/>
    <w:rsid w:val="00F94ACE"/>
    <w:rsid w:val="00F94AE5"/>
    <w:rsid w:val="00F94EAF"/>
    <w:rsid w:val="00F96581"/>
    <w:rsid w:val="00F96AF2"/>
    <w:rsid w:val="00F96F50"/>
    <w:rsid w:val="00F970A7"/>
    <w:rsid w:val="00F9738D"/>
    <w:rsid w:val="00FA1622"/>
    <w:rsid w:val="00FA1A3F"/>
    <w:rsid w:val="00FA2228"/>
    <w:rsid w:val="00FA2A03"/>
    <w:rsid w:val="00FA57BD"/>
    <w:rsid w:val="00FA59C4"/>
    <w:rsid w:val="00FA59C6"/>
    <w:rsid w:val="00FA5A3F"/>
    <w:rsid w:val="00FA5B04"/>
    <w:rsid w:val="00FA5F7E"/>
    <w:rsid w:val="00FA6AEF"/>
    <w:rsid w:val="00FB0167"/>
    <w:rsid w:val="00FB0EBB"/>
    <w:rsid w:val="00FB10F6"/>
    <w:rsid w:val="00FB13A2"/>
    <w:rsid w:val="00FB15EB"/>
    <w:rsid w:val="00FB19EB"/>
    <w:rsid w:val="00FB3A29"/>
    <w:rsid w:val="00FB41AF"/>
    <w:rsid w:val="00FB47DE"/>
    <w:rsid w:val="00FB4A1C"/>
    <w:rsid w:val="00FB60CC"/>
    <w:rsid w:val="00FB60FB"/>
    <w:rsid w:val="00FB6635"/>
    <w:rsid w:val="00FB6B37"/>
    <w:rsid w:val="00FB7510"/>
    <w:rsid w:val="00FC111B"/>
    <w:rsid w:val="00FC1DE5"/>
    <w:rsid w:val="00FC206B"/>
    <w:rsid w:val="00FC23C7"/>
    <w:rsid w:val="00FC2710"/>
    <w:rsid w:val="00FC3E40"/>
    <w:rsid w:val="00FC3FB7"/>
    <w:rsid w:val="00FC4378"/>
    <w:rsid w:val="00FC52C1"/>
    <w:rsid w:val="00FC5A6D"/>
    <w:rsid w:val="00FC5B2A"/>
    <w:rsid w:val="00FC65D0"/>
    <w:rsid w:val="00FC772C"/>
    <w:rsid w:val="00FD0284"/>
    <w:rsid w:val="00FD0BC0"/>
    <w:rsid w:val="00FD1078"/>
    <w:rsid w:val="00FD12DB"/>
    <w:rsid w:val="00FD1306"/>
    <w:rsid w:val="00FD3713"/>
    <w:rsid w:val="00FD4587"/>
    <w:rsid w:val="00FD57E2"/>
    <w:rsid w:val="00FD5B9B"/>
    <w:rsid w:val="00FD66DD"/>
    <w:rsid w:val="00FD6921"/>
    <w:rsid w:val="00FD77C2"/>
    <w:rsid w:val="00FE175F"/>
    <w:rsid w:val="00FE1F8E"/>
    <w:rsid w:val="00FE2ED7"/>
    <w:rsid w:val="00FE329D"/>
    <w:rsid w:val="00FE34B0"/>
    <w:rsid w:val="00FE3AFB"/>
    <w:rsid w:val="00FE3E6F"/>
    <w:rsid w:val="00FE400F"/>
    <w:rsid w:val="00FE4187"/>
    <w:rsid w:val="00FE58C5"/>
    <w:rsid w:val="00FE5ADE"/>
    <w:rsid w:val="00FE5C0B"/>
    <w:rsid w:val="00FE5E79"/>
    <w:rsid w:val="00FE788D"/>
    <w:rsid w:val="00FE797F"/>
    <w:rsid w:val="00FF052C"/>
    <w:rsid w:val="00FF05CB"/>
    <w:rsid w:val="00FF1B26"/>
    <w:rsid w:val="00FF211E"/>
    <w:rsid w:val="00FF27FB"/>
    <w:rsid w:val="00FF31B0"/>
    <w:rsid w:val="00FF3E5C"/>
    <w:rsid w:val="00FF4658"/>
    <w:rsid w:val="00FF473D"/>
    <w:rsid w:val="00FF4E8A"/>
    <w:rsid w:val="00FF556A"/>
    <w:rsid w:val="00FF5D50"/>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 w:type="paragraph" w:customStyle="1" w:styleId="CBANadpisvTABULCE">
    <w:name w:val="CBA Nadpis v TABULCE"/>
    <w:basedOn w:val="Normln"/>
    <w:qFormat/>
    <w:rsid w:val="0028530F"/>
    <w:pPr>
      <w:spacing w:before="120" w:after="120"/>
      <w:jc w:val="left"/>
    </w:pPr>
    <w:rPr>
      <w:b/>
      <w:bCs/>
      <w:color w:val="13576B"/>
    </w:rPr>
  </w:style>
  <w:style w:type="paragraph" w:customStyle="1" w:styleId="CBAodstavecvTABULCE">
    <w:name w:val="CBA odstavec v TABULCE"/>
    <w:basedOn w:val="Normln"/>
    <w:qFormat/>
    <w:rsid w:val="0028530F"/>
    <w:pPr>
      <w:spacing w:before="120" w:after="120"/>
      <w:jc w:val="left"/>
    </w:pPr>
    <w:rPr>
      <w:color w:val="13576B"/>
    </w:rPr>
  </w:style>
  <w:style w:type="paragraph" w:styleId="Prosttext">
    <w:name w:val="Plain Text"/>
    <w:basedOn w:val="Normln"/>
    <w:link w:val="ProsttextChar"/>
    <w:uiPriority w:val="99"/>
    <w:semiHidden/>
    <w:unhideWhenUsed/>
    <w:rsid w:val="001177C9"/>
    <w:rPr>
      <w:rFonts w:ascii="Consolas" w:hAnsi="Consolas"/>
      <w:sz w:val="21"/>
      <w:szCs w:val="21"/>
    </w:rPr>
  </w:style>
  <w:style w:type="character" w:customStyle="1" w:styleId="ProsttextChar">
    <w:name w:val="Prostý text Char"/>
    <w:basedOn w:val="Standardnpsmoodstavce"/>
    <w:link w:val="Prosttext"/>
    <w:uiPriority w:val="99"/>
    <w:semiHidden/>
    <w:rsid w:val="001177C9"/>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184709785">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53131029">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26123723">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569268724">
      <w:bodyDiv w:val="1"/>
      <w:marLeft w:val="0"/>
      <w:marRight w:val="0"/>
      <w:marTop w:val="0"/>
      <w:marBottom w:val="0"/>
      <w:divBdr>
        <w:top w:val="none" w:sz="0" w:space="0" w:color="auto"/>
        <w:left w:val="none" w:sz="0" w:space="0" w:color="auto"/>
        <w:bottom w:val="none" w:sz="0" w:space="0" w:color="auto"/>
        <w:right w:val="none" w:sz="0" w:space="0" w:color="auto"/>
      </w:divBdr>
    </w:div>
    <w:div w:id="596527678">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0036621">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30671323">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39715590">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79027833">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119157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12815054">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6008203">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2588299">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315711">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15972820">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35672542">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08274903">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106001260">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amonitor.cz/kategorie/cba-hypomonit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aonli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09ec118-0c61-46db-bb00-952e09940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0CBE5B95D55468F8CF7D6D1C8CB6B" ma:contentTypeVersion="10" ma:contentTypeDescription="Create a new document." ma:contentTypeScope="" ma:versionID="03de8c559e19055c2732f6aae148e160">
  <xsd:schema xmlns:xsd="http://www.w3.org/2001/XMLSchema" xmlns:xs="http://www.w3.org/2001/XMLSchema" xmlns:p="http://schemas.microsoft.com/office/2006/metadata/properties" xmlns:ns3="b09ec118-0c61-46db-bb00-952e09940a1f" targetNamespace="http://schemas.microsoft.com/office/2006/metadata/properties" ma:root="true" ma:fieldsID="a58f24d30c88e6ff28d70a1926b856b7" ns3:_="">
    <xsd:import namespace="b09ec118-0c61-46db-bb00-952e09940a1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ec118-0c61-46db-bb00-952e09940a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customXml/itemProps2.xml><?xml version="1.0" encoding="utf-8"?>
<ds:datastoreItem xmlns:ds="http://schemas.openxmlformats.org/officeDocument/2006/customXml" ds:itemID="{6DB935B7-8C88-4CAE-A0AA-13A352B0843E}">
  <ds:schemaRefs>
    <ds:schemaRef ds:uri="http://schemas.microsoft.com/office/2006/metadata/properties"/>
    <ds:schemaRef ds:uri="http://schemas.microsoft.com/office/infopath/2007/PartnerControls"/>
    <ds:schemaRef ds:uri="b09ec118-0c61-46db-bb00-952e09940a1f"/>
  </ds:schemaRefs>
</ds:datastoreItem>
</file>

<file path=customXml/itemProps3.xml><?xml version="1.0" encoding="utf-8"?>
<ds:datastoreItem xmlns:ds="http://schemas.openxmlformats.org/officeDocument/2006/customXml" ds:itemID="{90F695EA-D77D-4F66-A87E-5245D7A921CD}">
  <ds:schemaRefs>
    <ds:schemaRef ds:uri="http://schemas.microsoft.com/sharepoint/v3/contenttype/forms"/>
  </ds:schemaRefs>
</ds:datastoreItem>
</file>

<file path=customXml/itemProps4.xml><?xml version="1.0" encoding="utf-8"?>
<ds:datastoreItem xmlns:ds="http://schemas.openxmlformats.org/officeDocument/2006/customXml" ds:itemID="{C5464796-18D1-44D3-AEB3-40E11281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ec118-0c61-46db-bb00-952e09940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1510</Words>
  <Characters>8910</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5</cp:revision>
  <cp:lastPrinted>2024-08-12T11:42:00Z</cp:lastPrinted>
  <dcterms:created xsi:type="dcterms:W3CDTF">2025-02-14T10:48:00Z</dcterms:created>
  <dcterms:modified xsi:type="dcterms:W3CDTF">2025-02-14T13:06:00Z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0x0101004DC0CBE5B95D55468F8CF7D6D1C8CB6B</vt:lpwstr>
  </property>
</Properties>
</file>