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75735" w14:textId="2F4AFC10" w:rsidR="00DF154D" w:rsidRDefault="003D3759" w:rsidP="003D3759">
      <w:pPr>
        <w:rPr>
          <w:rFonts w:ascii="Calibri" w:hAnsi="Calibri" w:cs="Calibri"/>
          <w:b/>
          <w:color w:val="13576B"/>
          <w:sz w:val="32"/>
          <w:szCs w:val="32"/>
        </w:rPr>
      </w:pPr>
      <w:bookmarkStart w:id="0" w:name="_Hlk111121205"/>
      <w:bookmarkStart w:id="1" w:name="_Hlk116472656"/>
      <w:r w:rsidRPr="00616069">
        <w:rPr>
          <w:rFonts w:ascii="Calibri" w:hAnsi="Calibri" w:cs="Calibri"/>
          <w:b/>
          <w:color w:val="13576B"/>
          <w:sz w:val="32"/>
          <w:szCs w:val="32"/>
        </w:rPr>
        <w:t xml:space="preserve">ČBA Hypomonitor: </w:t>
      </w:r>
      <w:r w:rsidR="00A83BF6">
        <w:rPr>
          <w:rFonts w:ascii="Calibri" w:hAnsi="Calibri" w:cs="Calibri"/>
          <w:b/>
          <w:color w:val="13576B"/>
          <w:sz w:val="32"/>
          <w:szCs w:val="32"/>
        </w:rPr>
        <w:t>Jarní boom hypoték s mírným poklesem úrokové sazby</w:t>
      </w:r>
      <w:r w:rsidR="00641532" w:rsidRPr="007F690B">
        <w:rPr>
          <w:rFonts w:ascii="Calibri" w:hAnsi="Calibri" w:cs="Calibri"/>
          <w:b/>
          <w:color w:val="FF0000"/>
          <w:sz w:val="32"/>
          <w:szCs w:val="32"/>
        </w:rPr>
        <w:t xml:space="preserve"> </w:t>
      </w:r>
    </w:p>
    <w:p w14:paraId="4F3263AD" w14:textId="16FE483A" w:rsidR="00574588" w:rsidRPr="00DF154D" w:rsidRDefault="00A83BF6" w:rsidP="003D3759">
      <w:pPr>
        <w:rPr>
          <w:rFonts w:ascii="Calibri" w:hAnsi="Calibri" w:cs="Calibri"/>
          <w:b/>
          <w:color w:val="13576B"/>
          <w:sz w:val="24"/>
          <w:szCs w:val="24"/>
          <w:highlight w:val="yellow"/>
        </w:rPr>
      </w:pPr>
      <w:r>
        <w:rPr>
          <w:rFonts w:ascii="Calibri" w:hAnsi="Calibri" w:cs="Calibri"/>
          <w:b/>
          <w:color w:val="13576B"/>
          <w:sz w:val="24"/>
          <w:szCs w:val="24"/>
        </w:rPr>
        <w:t xml:space="preserve">Březen pokračoval v silných </w:t>
      </w:r>
      <w:r w:rsidR="00641532">
        <w:rPr>
          <w:rFonts w:ascii="Calibri" w:hAnsi="Calibri" w:cs="Calibri"/>
          <w:b/>
          <w:color w:val="13576B"/>
          <w:sz w:val="24"/>
          <w:szCs w:val="24"/>
        </w:rPr>
        <w:t>objem</w:t>
      </w:r>
      <w:r>
        <w:rPr>
          <w:rFonts w:ascii="Calibri" w:hAnsi="Calibri" w:cs="Calibri"/>
          <w:b/>
          <w:color w:val="13576B"/>
          <w:sz w:val="24"/>
          <w:szCs w:val="24"/>
        </w:rPr>
        <w:t>ech</w:t>
      </w:r>
      <w:r w:rsidR="00641532">
        <w:rPr>
          <w:rFonts w:ascii="Calibri" w:hAnsi="Calibri" w:cs="Calibri"/>
          <w:b/>
          <w:color w:val="13576B"/>
          <w:sz w:val="24"/>
          <w:szCs w:val="24"/>
        </w:rPr>
        <w:t xml:space="preserve"> nových hypoték </w:t>
      </w:r>
      <w:r>
        <w:rPr>
          <w:rFonts w:ascii="Calibri" w:hAnsi="Calibri" w:cs="Calibri"/>
          <w:b/>
          <w:color w:val="13576B"/>
          <w:sz w:val="24"/>
          <w:szCs w:val="24"/>
        </w:rPr>
        <w:t xml:space="preserve">podpořený </w:t>
      </w:r>
      <w:r w:rsidR="007F690B">
        <w:rPr>
          <w:rFonts w:ascii="Calibri" w:hAnsi="Calibri" w:cs="Calibri"/>
          <w:b/>
          <w:color w:val="13576B"/>
          <w:sz w:val="24"/>
          <w:szCs w:val="24"/>
        </w:rPr>
        <w:t>dalším</w:t>
      </w:r>
      <w:r>
        <w:rPr>
          <w:rFonts w:ascii="Calibri" w:hAnsi="Calibri" w:cs="Calibri"/>
          <w:b/>
          <w:color w:val="13576B"/>
          <w:sz w:val="24"/>
          <w:szCs w:val="24"/>
        </w:rPr>
        <w:t xml:space="preserve"> mírným</w:t>
      </w:r>
      <w:r w:rsidR="007F690B">
        <w:rPr>
          <w:rFonts w:ascii="Calibri" w:hAnsi="Calibri" w:cs="Calibri"/>
          <w:b/>
          <w:color w:val="13576B"/>
          <w:sz w:val="24"/>
          <w:szCs w:val="24"/>
        </w:rPr>
        <w:t xml:space="preserve"> pokles</w:t>
      </w:r>
      <w:r w:rsidR="008B62E9">
        <w:rPr>
          <w:rFonts w:ascii="Calibri" w:hAnsi="Calibri" w:cs="Calibri"/>
          <w:b/>
          <w:color w:val="13576B"/>
          <w:sz w:val="24"/>
          <w:szCs w:val="24"/>
        </w:rPr>
        <w:t>em</w:t>
      </w:r>
      <w:r w:rsidR="00641532">
        <w:rPr>
          <w:rFonts w:ascii="Calibri" w:hAnsi="Calibri" w:cs="Calibri"/>
          <w:b/>
          <w:color w:val="13576B"/>
          <w:sz w:val="24"/>
          <w:szCs w:val="24"/>
        </w:rPr>
        <w:t xml:space="preserve"> </w:t>
      </w:r>
      <w:r w:rsidR="000070E2" w:rsidRPr="00DF154D">
        <w:rPr>
          <w:rFonts w:ascii="Calibri" w:hAnsi="Calibri" w:cs="Calibri"/>
          <w:b/>
          <w:color w:val="13576B"/>
          <w:sz w:val="24"/>
          <w:szCs w:val="24"/>
        </w:rPr>
        <w:t>průměrn</w:t>
      </w:r>
      <w:r w:rsidR="005D05FD">
        <w:rPr>
          <w:rFonts w:ascii="Calibri" w:hAnsi="Calibri" w:cs="Calibri"/>
          <w:b/>
          <w:color w:val="13576B"/>
          <w:sz w:val="24"/>
          <w:szCs w:val="24"/>
        </w:rPr>
        <w:t>é</w:t>
      </w:r>
      <w:r w:rsidR="000070E2" w:rsidRPr="00DF154D">
        <w:rPr>
          <w:rFonts w:ascii="Calibri" w:hAnsi="Calibri" w:cs="Calibri"/>
          <w:b/>
          <w:color w:val="13576B"/>
          <w:sz w:val="24"/>
          <w:szCs w:val="24"/>
        </w:rPr>
        <w:t xml:space="preserve"> sazb</w:t>
      </w:r>
      <w:r w:rsidR="00465526" w:rsidRPr="00DF154D">
        <w:rPr>
          <w:rFonts w:ascii="Calibri" w:hAnsi="Calibri" w:cs="Calibri"/>
          <w:b/>
          <w:color w:val="13576B"/>
          <w:sz w:val="24"/>
          <w:szCs w:val="24"/>
        </w:rPr>
        <w:t>y</w:t>
      </w:r>
      <w:r w:rsidR="00530245" w:rsidRPr="00DF154D">
        <w:rPr>
          <w:rFonts w:ascii="Calibri" w:hAnsi="Calibri" w:cs="Calibri"/>
          <w:b/>
          <w:color w:val="13576B"/>
          <w:sz w:val="24"/>
          <w:szCs w:val="24"/>
        </w:rPr>
        <w:t xml:space="preserve"> na </w:t>
      </w:r>
      <w:r w:rsidR="00574588" w:rsidRPr="00DF154D">
        <w:rPr>
          <w:rFonts w:ascii="Calibri" w:hAnsi="Calibri" w:cs="Calibri"/>
          <w:b/>
          <w:color w:val="13576B"/>
          <w:sz w:val="24"/>
          <w:szCs w:val="24"/>
        </w:rPr>
        <w:t>4,</w:t>
      </w:r>
      <w:r>
        <w:rPr>
          <w:rFonts w:ascii="Calibri" w:hAnsi="Calibri" w:cs="Calibri"/>
          <w:b/>
          <w:color w:val="13576B"/>
          <w:sz w:val="24"/>
          <w:szCs w:val="24"/>
        </w:rPr>
        <w:t>68</w:t>
      </w:r>
      <w:r w:rsidR="00C878A2">
        <w:rPr>
          <w:rFonts w:ascii="Calibri" w:hAnsi="Calibri" w:cs="Calibri"/>
          <w:b/>
          <w:color w:val="13576B"/>
          <w:sz w:val="24"/>
          <w:szCs w:val="24"/>
        </w:rPr>
        <w:t xml:space="preserve"> </w:t>
      </w:r>
      <w:r w:rsidR="00574588" w:rsidRPr="00DF154D">
        <w:rPr>
          <w:rFonts w:ascii="Calibri" w:hAnsi="Calibri" w:cs="Calibri"/>
          <w:b/>
          <w:color w:val="13576B"/>
          <w:sz w:val="24"/>
          <w:szCs w:val="24"/>
        </w:rPr>
        <w:t>%</w:t>
      </w:r>
      <w:r w:rsidR="007E0A18" w:rsidRPr="00DF154D">
        <w:rPr>
          <w:rFonts w:ascii="Calibri" w:hAnsi="Calibri" w:cs="Calibri"/>
          <w:b/>
          <w:color w:val="13576B"/>
          <w:sz w:val="24"/>
          <w:szCs w:val="24"/>
        </w:rPr>
        <w:t>.</w:t>
      </w:r>
    </w:p>
    <w:bookmarkEnd w:id="0"/>
    <w:p w14:paraId="5E7258BB" w14:textId="77777777" w:rsidR="0001227F" w:rsidRPr="002138C0" w:rsidRDefault="0001227F" w:rsidP="0001227F">
      <w:pPr>
        <w:rPr>
          <w:rFonts w:ascii="Calibri" w:hAnsi="Calibri" w:cs="Calibri"/>
          <w:b/>
          <w:bCs/>
          <w:highlight w:val="yellow"/>
        </w:rPr>
      </w:pPr>
    </w:p>
    <w:p w14:paraId="773ED148" w14:textId="125EDA29" w:rsidR="00735CDE" w:rsidRPr="00735CDE" w:rsidRDefault="00A83BF6" w:rsidP="00735CDE">
      <w:pPr>
        <w:overflowPunct/>
        <w:autoSpaceDE/>
        <w:autoSpaceDN/>
        <w:adjustRightInd/>
        <w:textAlignment w:val="auto"/>
        <w:rPr>
          <w:rFonts w:ascii="Calibri" w:hAnsi="Calibri" w:cs="Calibri"/>
          <w:b/>
          <w:bCs/>
          <w:color w:val="13576B"/>
          <w:sz w:val="22"/>
          <w:szCs w:val="22"/>
        </w:rPr>
      </w:pPr>
      <w:r w:rsidRPr="00A83BF6">
        <w:rPr>
          <w:rFonts w:ascii="Calibri" w:hAnsi="Calibri" w:cs="Calibri"/>
          <w:b/>
          <w:color w:val="13576B"/>
          <w:sz w:val="22"/>
          <w:szCs w:val="22"/>
        </w:rPr>
        <w:t xml:space="preserve">Praha, </w:t>
      </w:r>
      <w:r>
        <w:rPr>
          <w:rFonts w:ascii="Calibri" w:hAnsi="Calibri" w:cs="Calibri"/>
          <w:b/>
          <w:color w:val="13576B"/>
          <w:sz w:val="22"/>
          <w:szCs w:val="22"/>
        </w:rPr>
        <w:t>15.</w:t>
      </w:r>
      <w:r w:rsidRPr="00A83BF6">
        <w:rPr>
          <w:rFonts w:ascii="Calibri" w:hAnsi="Calibri" w:cs="Calibri"/>
          <w:b/>
          <w:color w:val="13576B"/>
          <w:sz w:val="22"/>
          <w:szCs w:val="22"/>
        </w:rPr>
        <w:t xml:space="preserve"> dubna 2025 – V březnu 2025 poskytly banky a stavební spořitelny nové hypotéky za 27,2 miliardy Kč. Oproti únoru aktivita objemově zesílila o 29 %, což částečně odpovídá sezónnímu vliv</w:t>
      </w:r>
      <w:r>
        <w:rPr>
          <w:rFonts w:ascii="Calibri" w:hAnsi="Calibri" w:cs="Calibri"/>
          <w:b/>
          <w:color w:val="13576B"/>
          <w:sz w:val="22"/>
          <w:szCs w:val="22"/>
        </w:rPr>
        <w:t>u, ale</w:t>
      </w:r>
      <w:r w:rsidR="006534DC">
        <w:rPr>
          <w:rFonts w:ascii="Calibri" w:hAnsi="Calibri" w:cs="Calibri"/>
          <w:b/>
          <w:color w:val="13576B"/>
          <w:sz w:val="22"/>
          <w:szCs w:val="22"/>
        </w:rPr>
        <w:t xml:space="preserve"> i</w:t>
      </w:r>
      <w:r>
        <w:rPr>
          <w:rFonts w:ascii="Calibri" w:hAnsi="Calibri" w:cs="Calibri"/>
          <w:b/>
          <w:color w:val="13576B"/>
          <w:sz w:val="22"/>
          <w:szCs w:val="22"/>
        </w:rPr>
        <w:t xml:space="preserve"> </w:t>
      </w:r>
      <w:r w:rsidR="008B62E9">
        <w:rPr>
          <w:rFonts w:ascii="Calibri" w:hAnsi="Calibri" w:cs="Calibri"/>
          <w:b/>
          <w:color w:val="13576B"/>
          <w:sz w:val="22"/>
          <w:szCs w:val="22"/>
        </w:rPr>
        <w:t>pokračujícímu sílícímu trendu</w:t>
      </w:r>
      <w:r w:rsidRPr="00A83BF6">
        <w:rPr>
          <w:rFonts w:ascii="Calibri" w:hAnsi="Calibri" w:cs="Calibri"/>
          <w:b/>
          <w:color w:val="13576B"/>
          <w:sz w:val="22"/>
          <w:szCs w:val="22"/>
        </w:rPr>
        <w:t xml:space="preserve">. </w:t>
      </w:r>
      <w:r w:rsidR="008B62E9">
        <w:rPr>
          <w:rFonts w:ascii="Calibri" w:hAnsi="Calibri" w:cs="Calibri"/>
          <w:b/>
          <w:color w:val="13576B"/>
          <w:sz w:val="22"/>
          <w:szCs w:val="22"/>
        </w:rPr>
        <w:t>Nápomocn</w:t>
      </w:r>
      <w:r w:rsidR="006534DC">
        <w:rPr>
          <w:rFonts w:ascii="Calibri" w:hAnsi="Calibri" w:cs="Calibri"/>
          <w:b/>
          <w:color w:val="13576B"/>
          <w:sz w:val="22"/>
          <w:szCs w:val="22"/>
        </w:rPr>
        <w:t>á</w:t>
      </w:r>
      <w:r w:rsidR="008B62E9">
        <w:rPr>
          <w:rFonts w:ascii="Calibri" w:hAnsi="Calibri" w:cs="Calibri"/>
          <w:b/>
          <w:color w:val="13576B"/>
          <w:sz w:val="22"/>
          <w:szCs w:val="22"/>
        </w:rPr>
        <w:t xml:space="preserve"> byla i p</w:t>
      </w:r>
      <w:r w:rsidRPr="00A83BF6">
        <w:rPr>
          <w:rFonts w:ascii="Calibri" w:hAnsi="Calibri" w:cs="Calibri"/>
          <w:b/>
          <w:color w:val="13576B"/>
          <w:sz w:val="22"/>
          <w:szCs w:val="22"/>
        </w:rPr>
        <w:t>růměrná realizovaná sazba hypoték</w:t>
      </w:r>
      <w:r w:rsidR="008B62E9">
        <w:rPr>
          <w:rFonts w:ascii="Calibri" w:hAnsi="Calibri" w:cs="Calibri"/>
          <w:b/>
          <w:color w:val="13576B"/>
          <w:sz w:val="22"/>
          <w:szCs w:val="22"/>
        </w:rPr>
        <w:t>, která dále</w:t>
      </w:r>
      <w:r w:rsidRPr="00A83BF6">
        <w:rPr>
          <w:rFonts w:ascii="Calibri" w:hAnsi="Calibri" w:cs="Calibri"/>
          <w:b/>
          <w:color w:val="13576B"/>
          <w:sz w:val="22"/>
          <w:szCs w:val="22"/>
        </w:rPr>
        <w:t xml:space="preserve"> klesla na 4,68 % z únorových 4,72 %. Její meziroční pokles o 0,51% bodu snižuje měsíční splátky </w:t>
      </w:r>
      <w:r>
        <w:rPr>
          <w:rFonts w:ascii="Calibri" w:hAnsi="Calibri" w:cs="Calibri"/>
          <w:b/>
          <w:color w:val="13576B"/>
          <w:sz w:val="22"/>
          <w:szCs w:val="22"/>
        </w:rPr>
        <w:t>asi o dvanáct set korun, tedy přibližně</w:t>
      </w:r>
      <w:r w:rsidRPr="00A83BF6">
        <w:rPr>
          <w:rFonts w:ascii="Calibri" w:hAnsi="Calibri" w:cs="Calibri"/>
          <w:b/>
          <w:color w:val="13576B"/>
          <w:sz w:val="22"/>
          <w:szCs w:val="22"/>
        </w:rPr>
        <w:t xml:space="preserve"> o 1,4 % čistého příjmu žadatele o hypotéku. Průměrná velikost skutečně nově poskytnuté hypotéky v březnu mírně stoupla na 4,07 mili</w:t>
      </w:r>
      <w:r w:rsidR="00772FC8">
        <w:rPr>
          <w:rFonts w:ascii="Calibri" w:hAnsi="Calibri" w:cs="Calibri"/>
          <w:b/>
          <w:color w:val="13576B"/>
          <w:sz w:val="22"/>
          <w:szCs w:val="22"/>
        </w:rPr>
        <w:t>o</w:t>
      </w:r>
      <w:r w:rsidRPr="00A83BF6">
        <w:rPr>
          <w:rFonts w:ascii="Calibri" w:hAnsi="Calibri" w:cs="Calibri"/>
          <w:b/>
          <w:color w:val="13576B"/>
          <w:sz w:val="22"/>
          <w:szCs w:val="22"/>
        </w:rPr>
        <w:t xml:space="preserve">nu korun, </w:t>
      </w:r>
      <w:r w:rsidRPr="006E2E7E">
        <w:rPr>
          <w:rFonts w:ascii="Calibri" w:hAnsi="Calibri" w:cs="Calibri"/>
          <w:b/>
          <w:color w:val="13576B"/>
          <w:sz w:val="22"/>
          <w:szCs w:val="22"/>
        </w:rPr>
        <w:t>což meziročně zvedlo měsíční splátku o přibližně 3,9 % tohoto příjmu, tedy o 3,5 tis. Kč.  Pokud hypotéky udrží dynamiku z posledních dvou měsíců, pak objem nových hypoték v roce 2025 může dosáhnout úrovně 29</w:t>
      </w:r>
      <w:r w:rsidR="006E2E7E" w:rsidRPr="006E2E7E">
        <w:rPr>
          <w:rFonts w:ascii="Calibri" w:hAnsi="Calibri" w:cs="Calibri"/>
          <w:b/>
          <w:color w:val="13576B"/>
          <w:sz w:val="22"/>
          <w:szCs w:val="22"/>
        </w:rPr>
        <w:t>1</w:t>
      </w:r>
      <w:r w:rsidRPr="006E2E7E">
        <w:rPr>
          <w:rFonts w:ascii="Calibri" w:hAnsi="Calibri" w:cs="Calibri"/>
          <w:b/>
          <w:color w:val="13576B"/>
          <w:sz w:val="22"/>
          <w:szCs w:val="22"/>
        </w:rPr>
        <w:t xml:space="preserve"> miliard Kč, o </w:t>
      </w:r>
      <w:r w:rsidR="006E2E7E" w:rsidRPr="006E2E7E">
        <w:rPr>
          <w:rFonts w:ascii="Calibri" w:hAnsi="Calibri" w:cs="Calibri"/>
          <w:b/>
          <w:color w:val="13576B"/>
          <w:sz w:val="22"/>
          <w:szCs w:val="22"/>
        </w:rPr>
        <w:t xml:space="preserve">více než čtvrtinu </w:t>
      </w:r>
      <w:r w:rsidR="006534DC">
        <w:rPr>
          <w:rFonts w:ascii="Calibri" w:hAnsi="Calibri" w:cs="Calibri"/>
          <w:b/>
          <w:color w:val="13576B"/>
          <w:sz w:val="22"/>
          <w:szCs w:val="22"/>
        </w:rPr>
        <w:t>ve srovnání v loňskem</w:t>
      </w:r>
      <w:r w:rsidRPr="006E2E7E">
        <w:rPr>
          <w:rFonts w:ascii="Calibri" w:hAnsi="Calibri" w:cs="Calibri"/>
          <w:b/>
          <w:color w:val="13576B"/>
          <w:sz w:val="22"/>
          <w:szCs w:val="22"/>
        </w:rPr>
        <w:t>.</w:t>
      </w:r>
      <w:r w:rsidR="006E2E7E" w:rsidRPr="006E2E7E">
        <w:rPr>
          <w:rFonts w:ascii="Calibri" w:hAnsi="Calibri" w:cs="Calibri"/>
          <w:b/>
          <w:color w:val="13576B"/>
          <w:sz w:val="22"/>
          <w:szCs w:val="22"/>
        </w:rPr>
        <w:t xml:space="preserve"> I když t</w:t>
      </w:r>
      <w:r w:rsidRPr="006E2E7E">
        <w:rPr>
          <w:rFonts w:ascii="Calibri" w:hAnsi="Calibri" w:cs="Calibri"/>
          <w:b/>
          <w:color w:val="13576B"/>
          <w:sz w:val="22"/>
          <w:szCs w:val="22"/>
        </w:rPr>
        <w:t>ento trend hodnotíme s</w:t>
      </w:r>
      <w:r w:rsidR="000221E0" w:rsidRPr="006E2E7E">
        <w:rPr>
          <w:rFonts w:ascii="Calibri" w:hAnsi="Calibri" w:cs="Calibri"/>
          <w:b/>
          <w:color w:val="13576B"/>
          <w:sz w:val="22"/>
          <w:szCs w:val="22"/>
        </w:rPr>
        <w:t xml:space="preserve"> </w:t>
      </w:r>
      <w:r w:rsidRPr="006E2E7E">
        <w:rPr>
          <w:rFonts w:ascii="Calibri" w:hAnsi="Calibri" w:cs="Calibri"/>
          <w:b/>
          <w:color w:val="13576B"/>
          <w:sz w:val="22"/>
          <w:szCs w:val="22"/>
        </w:rPr>
        <w:t>rezervou kvůli rozdílným výsledkům sezónního očištění</w:t>
      </w:r>
      <w:r w:rsidR="006E2E7E" w:rsidRPr="006E2E7E">
        <w:rPr>
          <w:rFonts w:ascii="Calibri" w:hAnsi="Calibri" w:cs="Calibri"/>
          <w:b/>
          <w:color w:val="13576B"/>
          <w:sz w:val="22"/>
          <w:szCs w:val="22"/>
        </w:rPr>
        <w:t>.</w:t>
      </w:r>
      <w:r w:rsidRPr="006E2E7E">
        <w:rPr>
          <w:rFonts w:ascii="Calibri" w:hAnsi="Calibri" w:cs="Calibri"/>
          <w:b/>
          <w:color w:val="13576B"/>
          <w:sz w:val="22"/>
          <w:szCs w:val="22"/>
        </w:rPr>
        <w:t xml:space="preserve"> </w:t>
      </w:r>
      <w:r w:rsidR="006E2E7E" w:rsidRPr="006E2E7E">
        <w:rPr>
          <w:rFonts w:ascii="Calibri" w:hAnsi="Calibri" w:cs="Calibri"/>
          <w:b/>
          <w:color w:val="13576B"/>
          <w:sz w:val="22"/>
          <w:szCs w:val="22"/>
        </w:rPr>
        <w:t>Tato</w:t>
      </w:r>
      <w:r w:rsidR="006E2E7E">
        <w:rPr>
          <w:rFonts w:ascii="Calibri" w:hAnsi="Calibri" w:cs="Calibri"/>
          <w:b/>
          <w:color w:val="13576B"/>
          <w:sz w:val="22"/>
          <w:szCs w:val="22"/>
        </w:rPr>
        <w:t xml:space="preserve"> úroveň by za celý rok</w:t>
      </w:r>
      <w:r w:rsidR="006534DC">
        <w:rPr>
          <w:rFonts w:ascii="Calibri" w:hAnsi="Calibri" w:cs="Calibri"/>
          <w:b/>
          <w:color w:val="13576B"/>
          <w:sz w:val="22"/>
          <w:szCs w:val="22"/>
        </w:rPr>
        <w:t xml:space="preserve"> byla</w:t>
      </w:r>
      <w:r w:rsidR="006E2E7E">
        <w:rPr>
          <w:rFonts w:ascii="Calibri" w:hAnsi="Calibri" w:cs="Calibri"/>
          <w:b/>
          <w:color w:val="13576B"/>
          <w:sz w:val="22"/>
          <w:szCs w:val="22"/>
        </w:rPr>
        <w:t xml:space="preserve"> přibl</w:t>
      </w:r>
      <w:r w:rsidR="003D57E2">
        <w:rPr>
          <w:rFonts w:ascii="Calibri" w:hAnsi="Calibri" w:cs="Calibri"/>
          <w:b/>
          <w:color w:val="13576B"/>
          <w:sz w:val="22"/>
          <w:szCs w:val="22"/>
        </w:rPr>
        <w:t>ižně na půl cesty mezi covidovými roky 2020</w:t>
      </w:r>
      <w:r w:rsidR="006E2E7E">
        <w:rPr>
          <w:rFonts w:ascii="Calibri" w:hAnsi="Calibri" w:cs="Calibri"/>
          <w:b/>
          <w:color w:val="13576B"/>
          <w:sz w:val="22"/>
          <w:szCs w:val="22"/>
        </w:rPr>
        <w:t xml:space="preserve"> (224 mld. Kč)</w:t>
      </w:r>
      <w:r w:rsidR="003D57E2">
        <w:rPr>
          <w:rFonts w:ascii="Calibri" w:hAnsi="Calibri" w:cs="Calibri"/>
          <w:b/>
          <w:color w:val="13576B"/>
          <w:sz w:val="22"/>
          <w:szCs w:val="22"/>
        </w:rPr>
        <w:t xml:space="preserve"> a 2021</w:t>
      </w:r>
      <w:r w:rsidR="006E2E7E">
        <w:rPr>
          <w:rFonts w:ascii="Calibri" w:hAnsi="Calibri" w:cs="Calibri"/>
          <w:b/>
          <w:color w:val="13576B"/>
          <w:sz w:val="22"/>
          <w:szCs w:val="22"/>
        </w:rPr>
        <w:t xml:space="preserve"> (379 mld.)</w:t>
      </w:r>
      <w:r w:rsidR="003D57E2">
        <w:rPr>
          <w:rFonts w:ascii="Calibri" w:hAnsi="Calibri" w:cs="Calibri"/>
          <w:b/>
          <w:color w:val="13576B"/>
          <w:sz w:val="22"/>
          <w:szCs w:val="22"/>
        </w:rPr>
        <w:t xml:space="preserve">. </w:t>
      </w:r>
      <w:r w:rsidRPr="00A83BF6">
        <w:rPr>
          <w:rFonts w:ascii="Calibri" w:hAnsi="Calibri" w:cs="Calibri"/>
          <w:b/>
          <w:color w:val="13576B"/>
          <w:sz w:val="22"/>
          <w:szCs w:val="22"/>
        </w:rPr>
        <w:t>Uvedené informace plynou z údajů ČBA Hypomonitoru, který zachycuje data všech tuzemských bank a stavebních spořitelen poskytujících hypoteční úvěry.</w:t>
      </w:r>
    </w:p>
    <w:p w14:paraId="35C46D8C" w14:textId="7D18004E" w:rsidR="00C878A2" w:rsidRDefault="00C878A2" w:rsidP="0001227F">
      <w:pPr>
        <w:rPr>
          <w:rFonts w:ascii="Calibri" w:hAnsi="Calibri" w:cs="Calibri"/>
          <w:b/>
          <w:color w:val="13576B"/>
          <w:sz w:val="22"/>
          <w:szCs w:val="22"/>
        </w:rPr>
      </w:pPr>
    </w:p>
    <w:p w14:paraId="44AD2489" w14:textId="392B9CBE" w:rsidR="002A5D11" w:rsidRPr="000B064D" w:rsidRDefault="00A83BF6" w:rsidP="002A5D11">
      <w:pPr>
        <w:rPr>
          <w:rFonts w:ascii="Calibri" w:hAnsi="Calibri" w:cs="Calibri"/>
          <w:b/>
          <w:color w:val="13576B"/>
          <w:sz w:val="23"/>
          <w:szCs w:val="23"/>
        </w:rPr>
      </w:pPr>
      <w:r w:rsidRPr="000B064D">
        <w:rPr>
          <w:rFonts w:ascii="Calibri" w:hAnsi="Calibri" w:cs="Calibri"/>
          <w:b/>
          <w:color w:val="13576B"/>
          <w:sz w:val="23"/>
          <w:szCs w:val="23"/>
        </w:rPr>
        <w:t>Březen pokračoval v silném růstu n</w:t>
      </w:r>
      <w:r w:rsidR="00287580" w:rsidRPr="000B064D">
        <w:rPr>
          <w:rFonts w:ascii="Calibri" w:hAnsi="Calibri" w:cs="Calibri"/>
          <w:b/>
          <w:color w:val="13576B"/>
          <w:sz w:val="23"/>
          <w:szCs w:val="23"/>
        </w:rPr>
        <w:t xml:space="preserve">ově </w:t>
      </w:r>
      <w:r w:rsidR="002A5D11" w:rsidRPr="000B064D">
        <w:rPr>
          <w:rFonts w:ascii="Calibri" w:hAnsi="Calibri" w:cs="Calibri"/>
          <w:b/>
          <w:color w:val="13576B"/>
          <w:sz w:val="23"/>
          <w:szCs w:val="23"/>
        </w:rPr>
        <w:t xml:space="preserve">poskytnutých hypoték </w:t>
      </w:r>
    </w:p>
    <w:p w14:paraId="1A2432CD" w14:textId="77777777" w:rsidR="00C56C08" w:rsidRPr="00C53EEF" w:rsidRDefault="00C56C08" w:rsidP="0001227F">
      <w:pPr>
        <w:rPr>
          <w:rFonts w:ascii="Calibri" w:hAnsi="Calibri" w:cs="Calibri"/>
          <w:b/>
          <w:color w:val="13576B"/>
          <w:sz w:val="22"/>
          <w:szCs w:val="22"/>
        </w:rPr>
      </w:pPr>
    </w:p>
    <w:p w14:paraId="6F475F5B" w14:textId="5BE41097" w:rsidR="006E2E7E" w:rsidRDefault="00A83BF6" w:rsidP="006E2E7E">
      <w:pPr>
        <w:overflowPunct/>
        <w:autoSpaceDE/>
        <w:autoSpaceDN/>
        <w:adjustRightInd/>
        <w:textAlignment w:val="auto"/>
        <w:rPr>
          <w:rFonts w:ascii="Calibri" w:hAnsi="Calibri" w:cs="Calibri"/>
          <w:color w:val="000000"/>
          <w:sz w:val="22"/>
          <w:szCs w:val="22"/>
        </w:rPr>
      </w:pPr>
      <w:r w:rsidRPr="00A83BF6">
        <w:rPr>
          <w:rFonts w:ascii="Calibri" w:hAnsi="Calibri" w:cs="Calibri"/>
          <w:b/>
          <w:bCs/>
          <w:noProof/>
          <w:sz w:val="22"/>
          <w:szCs w:val="22"/>
        </w:rPr>
        <w:t xml:space="preserve">V březnu poskytly banky a stavební spořitelny skutečně nové hypoteční úvěry za 27,2 mld. Kč a k tomu klienti navíc refinancovali své </w:t>
      </w:r>
      <w:r w:rsidRPr="006E2E7E">
        <w:rPr>
          <w:rFonts w:ascii="Calibri" w:hAnsi="Calibri" w:cs="Calibri"/>
          <w:b/>
          <w:bCs/>
          <w:noProof/>
          <w:sz w:val="22"/>
          <w:szCs w:val="22"/>
        </w:rPr>
        <w:t>hypotéky v rozsahu 5,7 mld. Kč.</w:t>
      </w:r>
      <w:r w:rsidRPr="006E2E7E">
        <w:rPr>
          <w:rFonts w:ascii="Calibri" w:hAnsi="Calibri" w:cs="Calibri"/>
          <w:noProof/>
          <w:sz w:val="22"/>
          <w:szCs w:val="22"/>
        </w:rPr>
        <w:t xml:space="preserve"> Oproti únoru tak nová hypoteční aktivita objemově stoupla přibližně o 29 %, což </w:t>
      </w:r>
      <w:r w:rsidR="000221E0" w:rsidRPr="006E2E7E">
        <w:rPr>
          <w:rFonts w:ascii="Calibri" w:hAnsi="Calibri" w:cs="Calibri"/>
          <w:noProof/>
          <w:sz w:val="22"/>
          <w:szCs w:val="22"/>
        </w:rPr>
        <w:t>zvětší části</w:t>
      </w:r>
      <w:r w:rsidRPr="006E2E7E">
        <w:rPr>
          <w:rFonts w:ascii="Calibri" w:hAnsi="Calibri" w:cs="Calibri"/>
          <w:noProof/>
          <w:sz w:val="22"/>
          <w:szCs w:val="22"/>
        </w:rPr>
        <w:t xml:space="preserve"> odpovídá  sezónnímu vlivu (obvykle objem nových hypoték v březnu meziměsíčně naroste o 23 %; předchozí měsíc stoupl o 13 % v porovnání s obvyklými 4 %). </w:t>
      </w:r>
      <w:r w:rsidR="000221E0" w:rsidRPr="006E2E7E">
        <w:rPr>
          <w:rFonts w:ascii="Calibri" w:hAnsi="Calibri" w:cs="Calibri"/>
          <w:noProof/>
          <w:sz w:val="22"/>
          <w:szCs w:val="22"/>
        </w:rPr>
        <w:t xml:space="preserve">Ale odráží se zde i silný trend. </w:t>
      </w:r>
      <w:r w:rsidR="006E2E7E" w:rsidRPr="006E2E7E">
        <w:rPr>
          <w:rFonts w:ascii="Calibri" w:hAnsi="Calibri" w:cs="Calibri"/>
          <w:color w:val="000000"/>
          <w:sz w:val="22"/>
          <w:szCs w:val="22"/>
        </w:rPr>
        <w:t xml:space="preserve">Po sezónní úpravě přinesla březnová čísla nových hypoték nárůst (na přibližně 24,4 mld. Kč ve srovnání s 22,9 mld. v předchozích třech měsících) a dostala se tak na přibližně o 48 % vyšší úroveň ve srovnání s první polovinou minulého roku. V meziročním vyjádření růst objemu poskytnutých hypoték v březnu zesílil na 75 % z únorových 62 % a po 83% meziročním nárůstu v minulém roce. </w:t>
      </w:r>
    </w:p>
    <w:p w14:paraId="4BB140CA" w14:textId="209A7CA2" w:rsidR="006E2E7E" w:rsidRDefault="006E2E7E" w:rsidP="006E2E7E">
      <w:pPr>
        <w:spacing w:before="240" w:after="120"/>
        <w:rPr>
          <w:rFonts w:ascii="Calibri" w:hAnsi="Calibri" w:cs="Calibri"/>
          <w:color w:val="000000"/>
          <w:sz w:val="22"/>
          <w:szCs w:val="22"/>
        </w:rPr>
      </w:pPr>
      <w:r w:rsidRPr="006E2E7E">
        <w:rPr>
          <w:rFonts w:ascii="Calibri" w:hAnsi="Calibri" w:cs="Calibri"/>
          <w:color w:val="000000"/>
          <w:sz w:val="22"/>
          <w:szCs w:val="22"/>
        </w:rPr>
        <w:t xml:space="preserve">Počet nových hypoték v březnu dosáhl 6680 kusů, což je o 47 % více než před rokem. </w:t>
      </w:r>
      <w:r w:rsidR="000B064D">
        <w:rPr>
          <w:rFonts w:ascii="Calibri" w:hAnsi="Calibri" w:cs="Calibri"/>
          <w:color w:val="000000"/>
          <w:sz w:val="22"/>
          <w:szCs w:val="22"/>
        </w:rPr>
        <w:t>Po</w:t>
      </w:r>
      <w:r w:rsidRPr="006E2E7E">
        <w:rPr>
          <w:rFonts w:ascii="Calibri" w:hAnsi="Calibri" w:cs="Calibri"/>
          <w:color w:val="000000"/>
          <w:sz w:val="22"/>
          <w:szCs w:val="22"/>
        </w:rPr>
        <w:t xml:space="preserve"> sezónním očištění </w:t>
      </w:r>
      <w:r w:rsidR="000B064D">
        <w:rPr>
          <w:rFonts w:ascii="Calibri" w:hAnsi="Calibri" w:cs="Calibri"/>
          <w:color w:val="000000"/>
          <w:sz w:val="22"/>
          <w:szCs w:val="22"/>
        </w:rPr>
        <w:t xml:space="preserve">odhadujeme </w:t>
      </w:r>
      <w:r w:rsidRPr="006E2E7E">
        <w:rPr>
          <w:rFonts w:ascii="Calibri" w:hAnsi="Calibri" w:cs="Calibri"/>
          <w:color w:val="000000"/>
          <w:sz w:val="22"/>
          <w:szCs w:val="22"/>
        </w:rPr>
        <w:t xml:space="preserve">jejich počet okolo 5926, přibližně 3 % nad průměrným počtem (5749) v předchozích třech měsících. </w:t>
      </w:r>
    </w:p>
    <w:p w14:paraId="124D2D31" w14:textId="68FB2804" w:rsidR="00F61FFC" w:rsidRDefault="006E04F7" w:rsidP="000B0992">
      <w:pPr>
        <w:spacing w:before="240" w:after="120"/>
        <w:rPr>
          <w:rFonts w:ascii="Calibri" w:hAnsi="Calibri" w:cs="Calibri"/>
          <w:b/>
          <w:color w:val="13576B"/>
          <w:sz w:val="23"/>
          <w:szCs w:val="23"/>
        </w:rPr>
      </w:pPr>
      <w:bookmarkStart w:id="2" w:name="_Hlk111121228"/>
      <w:bookmarkStart w:id="3" w:name="_Hlk119308742"/>
      <w:r w:rsidRPr="003F159E">
        <w:rPr>
          <w:rFonts w:ascii="Calibri" w:hAnsi="Calibri" w:cs="Calibri"/>
          <w:b/>
          <w:color w:val="13576B"/>
          <w:sz w:val="23"/>
          <w:szCs w:val="23"/>
        </w:rPr>
        <w:t>Tabulka č. 1: Shrnutí objemu poskytnutých hypoték a průměrných úrokových sazeb za</w:t>
      </w:r>
      <w:r w:rsidR="003E393C" w:rsidRPr="003F159E">
        <w:rPr>
          <w:rFonts w:ascii="Calibri" w:hAnsi="Calibri" w:cs="Calibri"/>
          <w:b/>
          <w:color w:val="13576B"/>
          <w:sz w:val="23"/>
          <w:szCs w:val="23"/>
        </w:rPr>
        <w:t xml:space="preserve"> </w:t>
      </w:r>
      <w:r w:rsidR="00A83BF6">
        <w:rPr>
          <w:rFonts w:ascii="Calibri" w:hAnsi="Calibri" w:cs="Calibri"/>
          <w:b/>
          <w:color w:val="13576B"/>
          <w:sz w:val="23"/>
          <w:szCs w:val="23"/>
        </w:rPr>
        <w:t>březen</w:t>
      </w:r>
      <w:r w:rsidR="001306A2" w:rsidRPr="003F159E">
        <w:rPr>
          <w:rFonts w:ascii="Calibri" w:hAnsi="Calibri" w:cs="Calibri"/>
          <w:b/>
          <w:color w:val="13576B"/>
          <w:sz w:val="23"/>
          <w:szCs w:val="23"/>
        </w:rPr>
        <w:t xml:space="preserve"> </w:t>
      </w:r>
      <w:r w:rsidRPr="003F159E">
        <w:rPr>
          <w:rFonts w:ascii="Calibri" w:hAnsi="Calibri" w:cs="Calibri"/>
          <w:b/>
          <w:color w:val="13576B"/>
          <w:sz w:val="23"/>
          <w:szCs w:val="23"/>
        </w:rPr>
        <w:t>202</w:t>
      </w:r>
      <w:r w:rsidR="00641532">
        <w:rPr>
          <w:rFonts w:ascii="Calibri" w:hAnsi="Calibri" w:cs="Calibri"/>
          <w:b/>
          <w:color w:val="13576B"/>
          <w:sz w:val="23"/>
          <w:szCs w:val="23"/>
        </w:rPr>
        <w:t>5</w:t>
      </w:r>
    </w:p>
    <w:p w14:paraId="6D0DF5DF" w14:textId="5E812C21" w:rsidR="0080372E" w:rsidRPr="0080372E" w:rsidRDefault="0080372E" w:rsidP="006E2E7E">
      <w:pPr>
        <w:rPr>
          <w:rFonts w:ascii="Calibri" w:hAnsi="Calibri" w:cs="Calibri"/>
          <w:bCs/>
          <w:i/>
          <w:iCs/>
          <w:color w:val="13576B"/>
          <w:sz w:val="23"/>
          <w:szCs w:val="23"/>
        </w:rPr>
      </w:pPr>
      <w:r>
        <w:rPr>
          <w:rFonts w:ascii="Calibri" w:hAnsi="Calibri" w:cs="Calibri"/>
          <w:bCs/>
          <w:i/>
          <w:iCs/>
          <w:color w:val="13576B"/>
          <w:sz w:val="23"/>
          <w:szCs w:val="23"/>
        </w:rPr>
        <w:t xml:space="preserve">Vyloučíme-li s legislativou spojený výkyv ze srpna loňského roku, tak březen zaznamenal (po sezónním očištění) nejvyšší počet nově poskytnutých úvěrů za poslední tři roky. </w:t>
      </w:r>
    </w:p>
    <w:tbl>
      <w:tblPr>
        <w:tblW w:w="6560" w:type="dxa"/>
        <w:tblCellMar>
          <w:left w:w="70" w:type="dxa"/>
          <w:right w:w="70" w:type="dxa"/>
        </w:tblCellMar>
        <w:tblLook w:val="04A0" w:firstRow="1" w:lastRow="0" w:firstColumn="1" w:lastColumn="0" w:noHBand="0" w:noVBand="1"/>
      </w:tblPr>
      <w:tblGrid>
        <w:gridCol w:w="3539"/>
        <w:gridCol w:w="1101"/>
        <w:gridCol w:w="960"/>
        <w:gridCol w:w="960"/>
      </w:tblGrid>
      <w:tr w:rsidR="006E04F7" w:rsidRPr="002138C0" w14:paraId="17FF1971" w14:textId="77777777" w:rsidTr="00356809">
        <w:trPr>
          <w:trHeight w:val="300"/>
        </w:trPr>
        <w:tc>
          <w:tcPr>
            <w:tcW w:w="3539" w:type="dxa"/>
            <w:tcBorders>
              <w:top w:val="nil"/>
              <w:left w:val="nil"/>
              <w:bottom w:val="nil"/>
              <w:right w:val="nil"/>
            </w:tcBorders>
            <w:shd w:val="clear" w:color="000000" w:fill="FFFFFF"/>
            <w:noWrap/>
            <w:vAlign w:val="bottom"/>
            <w:hideMark/>
          </w:tcPr>
          <w:p w14:paraId="3A7F3251" w14:textId="316ED53A" w:rsidR="006E04F7" w:rsidRPr="00072DB9" w:rsidRDefault="006E04F7" w:rsidP="00356809">
            <w:pPr>
              <w:overflowPunct/>
              <w:autoSpaceDE/>
              <w:autoSpaceDN/>
              <w:adjustRightInd/>
              <w:jc w:val="left"/>
              <w:textAlignment w:val="auto"/>
              <w:rPr>
                <w:rFonts w:ascii="Calibri" w:hAnsi="Calibri" w:cs="Calibri"/>
                <w:color w:val="000000"/>
                <w:sz w:val="22"/>
                <w:szCs w:val="22"/>
              </w:rPr>
            </w:pPr>
            <w:r w:rsidRPr="00072DB9">
              <w:rPr>
                <w:rFonts w:ascii="Calibri" w:hAnsi="Calibri" w:cs="Calibri"/>
                <w:color w:val="000000"/>
                <w:sz w:val="22"/>
                <w:szCs w:val="22"/>
              </w:rPr>
              <w:t> </w:t>
            </w:r>
          </w:p>
        </w:tc>
        <w:tc>
          <w:tcPr>
            <w:tcW w:w="1101" w:type="dxa"/>
            <w:vMerge w:val="restart"/>
            <w:tcBorders>
              <w:top w:val="nil"/>
              <w:left w:val="nil"/>
              <w:bottom w:val="single" w:sz="4" w:space="0" w:color="000000"/>
              <w:right w:val="single" w:sz="4" w:space="0" w:color="auto"/>
            </w:tcBorders>
            <w:shd w:val="clear" w:color="000000" w:fill="FFFFFF"/>
            <w:vAlign w:val="bottom"/>
            <w:hideMark/>
          </w:tcPr>
          <w:p w14:paraId="3CBA24DE" w14:textId="77777777" w:rsidR="006E04F7" w:rsidRPr="00072DB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072DB9">
              <w:rPr>
                <w:rFonts w:ascii="Calibri Light" w:hAnsi="Calibri Light" w:cs="Calibri Light"/>
                <w:b/>
                <w:bCs/>
                <w:color w:val="13576B"/>
                <w:sz w:val="22"/>
                <w:szCs w:val="22"/>
              </w:rPr>
              <w:t>Objem</w:t>
            </w:r>
            <w:r w:rsidRPr="00072DB9">
              <w:rPr>
                <w:rFonts w:ascii="Calibri Light" w:hAnsi="Calibri Light" w:cs="Calibri Light"/>
                <w:b/>
                <w:bCs/>
                <w:color w:val="13576B"/>
                <w:sz w:val="22"/>
                <w:szCs w:val="22"/>
              </w:rPr>
              <w:br/>
              <w:t>(mld. Kč)</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253183" w14:textId="77777777" w:rsidR="006E04F7" w:rsidRPr="00072DB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072DB9">
              <w:rPr>
                <w:rFonts w:ascii="Calibri Light" w:hAnsi="Calibri Light" w:cs="Calibri Light"/>
                <w:b/>
                <w:bCs/>
                <w:color w:val="13576B"/>
                <w:sz w:val="22"/>
                <w:szCs w:val="22"/>
              </w:rPr>
              <w:t>Počet</w:t>
            </w:r>
          </w:p>
        </w:tc>
        <w:tc>
          <w:tcPr>
            <w:tcW w:w="960" w:type="dxa"/>
            <w:vMerge w:val="restart"/>
            <w:tcBorders>
              <w:top w:val="nil"/>
              <w:left w:val="nil"/>
              <w:bottom w:val="single" w:sz="4" w:space="0" w:color="000000"/>
              <w:right w:val="nil"/>
            </w:tcBorders>
            <w:shd w:val="clear" w:color="000000" w:fill="FFFFFF"/>
            <w:vAlign w:val="bottom"/>
            <w:hideMark/>
          </w:tcPr>
          <w:p w14:paraId="49E958C3" w14:textId="77777777" w:rsidR="006E04F7" w:rsidRPr="00072DB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072DB9">
              <w:rPr>
                <w:rFonts w:ascii="Calibri Light" w:hAnsi="Calibri Light" w:cs="Calibri Light"/>
                <w:b/>
                <w:bCs/>
                <w:color w:val="13576B"/>
                <w:sz w:val="22"/>
                <w:szCs w:val="22"/>
              </w:rPr>
              <w:t>Sazba</w:t>
            </w:r>
            <w:r w:rsidRPr="00072DB9">
              <w:rPr>
                <w:rFonts w:ascii="Calibri Light" w:hAnsi="Calibri Light" w:cs="Calibri Light"/>
                <w:b/>
                <w:bCs/>
                <w:color w:val="13576B"/>
                <w:sz w:val="22"/>
                <w:szCs w:val="22"/>
              </w:rPr>
              <w:br/>
              <w:t xml:space="preserve"> (%)</w:t>
            </w:r>
          </w:p>
        </w:tc>
      </w:tr>
      <w:tr w:rsidR="006E04F7" w:rsidRPr="002138C0" w14:paraId="07461CAA" w14:textId="77777777" w:rsidTr="00356809">
        <w:trPr>
          <w:trHeight w:val="300"/>
        </w:trPr>
        <w:tc>
          <w:tcPr>
            <w:tcW w:w="3539" w:type="dxa"/>
            <w:tcBorders>
              <w:top w:val="nil"/>
              <w:left w:val="nil"/>
              <w:bottom w:val="single" w:sz="4" w:space="0" w:color="auto"/>
              <w:right w:val="nil"/>
            </w:tcBorders>
            <w:shd w:val="clear" w:color="000000" w:fill="FFFFFF"/>
            <w:noWrap/>
            <w:vAlign w:val="bottom"/>
            <w:hideMark/>
          </w:tcPr>
          <w:p w14:paraId="307FCD68" w14:textId="715FBAEA" w:rsidR="006E04F7" w:rsidRPr="00072DB9" w:rsidRDefault="006E04F7" w:rsidP="00356809">
            <w:pPr>
              <w:overflowPunct/>
              <w:autoSpaceDE/>
              <w:autoSpaceDN/>
              <w:adjustRightInd/>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w:t>
            </w:r>
          </w:p>
        </w:tc>
        <w:tc>
          <w:tcPr>
            <w:tcW w:w="1101" w:type="dxa"/>
            <w:vMerge/>
            <w:tcBorders>
              <w:top w:val="nil"/>
              <w:left w:val="nil"/>
              <w:bottom w:val="single" w:sz="4" w:space="0" w:color="000000"/>
              <w:right w:val="single" w:sz="4" w:space="0" w:color="auto"/>
            </w:tcBorders>
            <w:vAlign w:val="center"/>
            <w:hideMark/>
          </w:tcPr>
          <w:p w14:paraId="31F7E1F4" w14:textId="77777777" w:rsidR="006E04F7" w:rsidRPr="00072DB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0DA418F2" w14:textId="77777777" w:rsidR="006E04F7" w:rsidRPr="00072DB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nil"/>
              <w:bottom w:val="single" w:sz="4" w:space="0" w:color="000000"/>
              <w:right w:val="nil"/>
            </w:tcBorders>
            <w:vAlign w:val="center"/>
            <w:hideMark/>
          </w:tcPr>
          <w:p w14:paraId="6B5DC471" w14:textId="77777777" w:rsidR="006E04F7" w:rsidRPr="00072DB9" w:rsidRDefault="006E04F7" w:rsidP="00356809">
            <w:pPr>
              <w:overflowPunct/>
              <w:autoSpaceDE/>
              <w:autoSpaceDN/>
              <w:adjustRightInd/>
              <w:jc w:val="left"/>
              <w:textAlignment w:val="auto"/>
              <w:rPr>
                <w:rFonts w:ascii="Calibri Light" w:hAnsi="Calibri Light" w:cs="Calibri Light"/>
                <w:b/>
                <w:bCs/>
                <w:color w:val="13576B"/>
                <w:sz w:val="22"/>
                <w:szCs w:val="22"/>
              </w:rPr>
            </w:pPr>
          </w:p>
        </w:tc>
      </w:tr>
      <w:tr w:rsidR="00A83BF6" w:rsidRPr="002138C0" w14:paraId="35D90BA7" w14:textId="77777777" w:rsidTr="00991D3E">
        <w:trPr>
          <w:trHeight w:val="300"/>
        </w:trPr>
        <w:tc>
          <w:tcPr>
            <w:tcW w:w="3539" w:type="dxa"/>
            <w:tcBorders>
              <w:top w:val="nil"/>
              <w:left w:val="nil"/>
              <w:bottom w:val="single" w:sz="4" w:space="0" w:color="auto"/>
              <w:right w:val="nil"/>
            </w:tcBorders>
            <w:shd w:val="clear" w:color="000000" w:fill="FFFFFF"/>
            <w:noWrap/>
            <w:vAlign w:val="bottom"/>
            <w:hideMark/>
          </w:tcPr>
          <w:p w14:paraId="27C651BE" w14:textId="55D0463E" w:rsidR="00A83BF6" w:rsidRPr="00072DB9" w:rsidRDefault="00A83BF6" w:rsidP="00A83BF6">
            <w:pPr>
              <w:overflowPunct/>
              <w:autoSpaceDE/>
              <w:autoSpaceDN/>
              <w:adjustRightInd/>
              <w:jc w:val="left"/>
              <w:textAlignment w:val="auto"/>
              <w:rPr>
                <w:rFonts w:ascii="Calibri Light" w:hAnsi="Calibri Light" w:cs="Calibri Light"/>
                <w:b/>
                <w:bCs/>
                <w:color w:val="000000"/>
                <w:sz w:val="22"/>
                <w:szCs w:val="22"/>
              </w:rPr>
            </w:pPr>
            <w:r w:rsidRPr="00072DB9">
              <w:rPr>
                <w:rFonts w:ascii="Calibri Light" w:hAnsi="Calibri Light" w:cs="Calibri Light"/>
                <w:b/>
                <w:bCs/>
                <w:color w:val="000000"/>
                <w:sz w:val="22"/>
                <w:szCs w:val="22"/>
              </w:rPr>
              <w:t>Celkem</w:t>
            </w:r>
          </w:p>
        </w:tc>
        <w:tc>
          <w:tcPr>
            <w:tcW w:w="1101" w:type="dxa"/>
            <w:tcBorders>
              <w:top w:val="nil"/>
              <w:left w:val="nil"/>
              <w:bottom w:val="single" w:sz="4" w:space="0" w:color="auto"/>
              <w:right w:val="single" w:sz="4" w:space="0" w:color="auto"/>
            </w:tcBorders>
            <w:shd w:val="clear" w:color="000000" w:fill="FFFFFF"/>
            <w:noWrap/>
            <w:vAlign w:val="center"/>
            <w:hideMark/>
          </w:tcPr>
          <w:p w14:paraId="7E3AB166" w14:textId="0E412D96" w:rsidR="00A83BF6" w:rsidRPr="00072DB9" w:rsidRDefault="00A83BF6" w:rsidP="00A83BF6">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color w:val="000000"/>
                <w:sz w:val="22"/>
                <w:szCs w:val="22"/>
              </w:rPr>
              <w:t>32,8</w:t>
            </w:r>
          </w:p>
        </w:tc>
        <w:tc>
          <w:tcPr>
            <w:tcW w:w="960" w:type="dxa"/>
            <w:tcBorders>
              <w:top w:val="nil"/>
              <w:left w:val="nil"/>
              <w:bottom w:val="single" w:sz="4" w:space="0" w:color="auto"/>
              <w:right w:val="single" w:sz="4" w:space="0" w:color="auto"/>
            </w:tcBorders>
            <w:shd w:val="clear" w:color="000000" w:fill="FFFFFF"/>
            <w:noWrap/>
            <w:vAlign w:val="center"/>
            <w:hideMark/>
          </w:tcPr>
          <w:p w14:paraId="2CB48BEB" w14:textId="10A839CE"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8 382</w:t>
            </w:r>
          </w:p>
        </w:tc>
        <w:tc>
          <w:tcPr>
            <w:tcW w:w="960" w:type="dxa"/>
            <w:tcBorders>
              <w:top w:val="nil"/>
              <w:left w:val="nil"/>
              <w:bottom w:val="single" w:sz="4" w:space="0" w:color="auto"/>
              <w:right w:val="nil"/>
            </w:tcBorders>
            <w:shd w:val="clear" w:color="000000" w:fill="FFFFFF"/>
            <w:noWrap/>
            <w:vAlign w:val="center"/>
            <w:hideMark/>
          </w:tcPr>
          <w:p w14:paraId="25688592" w14:textId="408E850B"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4,68</w:t>
            </w:r>
          </w:p>
        </w:tc>
      </w:tr>
      <w:tr w:rsidR="00A83BF6" w:rsidRPr="002138C0" w14:paraId="76C06795" w14:textId="77777777" w:rsidTr="00991D3E">
        <w:trPr>
          <w:trHeight w:val="300"/>
        </w:trPr>
        <w:tc>
          <w:tcPr>
            <w:tcW w:w="3539" w:type="dxa"/>
            <w:tcBorders>
              <w:top w:val="single" w:sz="4" w:space="0" w:color="auto"/>
              <w:left w:val="nil"/>
              <w:bottom w:val="nil"/>
              <w:right w:val="nil"/>
            </w:tcBorders>
            <w:shd w:val="solid" w:color="DAF3EA" w:fill="C1F7E9"/>
            <w:noWrap/>
            <w:vAlign w:val="bottom"/>
            <w:hideMark/>
          </w:tcPr>
          <w:p w14:paraId="62A0E8CC" w14:textId="77777777" w:rsidR="00A83BF6" w:rsidRPr="00072DB9" w:rsidRDefault="00A83BF6" w:rsidP="00A83BF6">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072DB9">
              <w:rPr>
                <w:rFonts w:ascii="Calibri Light" w:hAnsi="Calibri Light" w:cs="Calibri Light"/>
                <w:b/>
                <w:bCs/>
                <w:color w:val="000000"/>
                <w:sz w:val="22"/>
                <w:szCs w:val="22"/>
              </w:rPr>
              <w:t xml:space="preserve">Nové úvěry </w:t>
            </w:r>
          </w:p>
        </w:tc>
        <w:tc>
          <w:tcPr>
            <w:tcW w:w="1101" w:type="dxa"/>
            <w:tcBorders>
              <w:top w:val="single" w:sz="4" w:space="0" w:color="auto"/>
              <w:left w:val="nil"/>
              <w:bottom w:val="nil"/>
              <w:right w:val="single" w:sz="4" w:space="0" w:color="auto"/>
            </w:tcBorders>
            <w:shd w:val="solid" w:color="DAF3EA" w:fill="C1F7E9"/>
            <w:noWrap/>
            <w:vAlign w:val="center"/>
            <w:hideMark/>
          </w:tcPr>
          <w:p w14:paraId="520FBFDC" w14:textId="383D409B" w:rsidR="00A83BF6" w:rsidRPr="00072DB9" w:rsidRDefault="00A83BF6" w:rsidP="00A83BF6">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27,2</w:t>
            </w:r>
          </w:p>
        </w:tc>
        <w:tc>
          <w:tcPr>
            <w:tcW w:w="960" w:type="dxa"/>
            <w:tcBorders>
              <w:top w:val="single" w:sz="4" w:space="0" w:color="auto"/>
              <w:left w:val="nil"/>
              <w:bottom w:val="nil"/>
              <w:right w:val="single" w:sz="4" w:space="0" w:color="auto"/>
            </w:tcBorders>
            <w:shd w:val="solid" w:color="DAF3EA" w:fill="C1F7E9"/>
            <w:noWrap/>
            <w:vAlign w:val="center"/>
            <w:hideMark/>
          </w:tcPr>
          <w:p w14:paraId="41404E63" w14:textId="722C8B18" w:rsidR="00A83BF6" w:rsidRPr="00072DB9" w:rsidRDefault="00A83BF6" w:rsidP="00A83BF6">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6 680</w:t>
            </w:r>
          </w:p>
        </w:tc>
        <w:tc>
          <w:tcPr>
            <w:tcW w:w="960" w:type="dxa"/>
            <w:tcBorders>
              <w:top w:val="single" w:sz="4" w:space="0" w:color="auto"/>
              <w:left w:val="nil"/>
              <w:bottom w:val="nil"/>
              <w:right w:val="nil"/>
            </w:tcBorders>
            <w:shd w:val="solid" w:color="DAF3EA" w:fill="C1F7E9"/>
            <w:noWrap/>
            <w:vAlign w:val="center"/>
            <w:hideMark/>
          </w:tcPr>
          <w:p w14:paraId="5B0C0248" w14:textId="2359CABE" w:rsidR="00A83BF6" w:rsidRPr="00072DB9" w:rsidRDefault="00A83BF6" w:rsidP="00A83BF6">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4,68</w:t>
            </w:r>
          </w:p>
        </w:tc>
      </w:tr>
      <w:tr w:rsidR="00A83BF6" w:rsidRPr="002138C0" w14:paraId="6E865282" w14:textId="77777777" w:rsidTr="002344B5">
        <w:trPr>
          <w:trHeight w:val="300"/>
        </w:trPr>
        <w:tc>
          <w:tcPr>
            <w:tcW w:w="3539" w:type="dxa"/>
            <w:tcBorders>
              <w:top w:val="nil"/>
              <w:left w:val="nil"/>
              <w:bottom w:val="nil"/>
              <w:right w:val="nil"/>
            </w:tcBorders>
            <w:shd w:val="clear" w:color="000000" w:fill="FFFFFF"/>
            <w:noWrap/>
            <w:vAlign w:val="bottom"/>
            <w:hideMark/>
          </w:tcPr>
          <w:p w14:paraId="4E52C0C1" w14:textId="77777777" w:rsidR="00A83BF6" w:rsidRPr="00072DB9" w:rsidRDefault="00A83BF6" w:rsidP="00A83BF6">
            <w:pPr>
              <w:overflowPunct/>
              <w:autoSpaceDE/>
              <w:autoSpaceDN/>
              <w:adjustRightInd/>
              <w:ind w:firstLineChars="200" w:firstLine="440"/>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xml:space="preserve">z toho: </w:t>
            </w:r>
          </w:p>
        </w:tc>
        <w:tc>
          <w:tcPr>
            <w:tcW w:w="1101" w:type="dxa"/>
            <w:tcBorders>
              <w:top w:val="nil"/>
              <w:left w:val="nil"/>
              <w:bottom w:val="nil"/>
              <w:right w:val="single" w:sz="4" w:space="0" w:color="auto"/>
            </w:tcBorders>
            <w:shd w:val="clear" w:color="000000" w:fill="FFFFFF"/>
            <w:noWrap/>
            <w:vAlign w:val="center"/>
            <w:hideMark/>
          </w:tcPr>
          <w:p w14:paraId="57B98F3E" w14:textId="5974DCB2"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single" w:sz="4" w:space="0" w:color="auto"/>
            </w:tcBorders>
            <w:shd w:val="clear" w:color="000000" w:fill="FFFFFF"/>
            <w:noWrap/>
            <w:vAlign w:val="center"/>
            <w:hideMark/>
          </w:tcPr>
          <w:p w14:paraId="04B92348" w14:textId="7C8CBC0B"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center"/>
            <w:hideMark/>
          </w:tcPr>
          <w:p w14:paraId="4D8B27E5" w14:textId="0EC13E06"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r>
      <w:tr w:rsidR="00A83BF6" w:rsidRPr="002138C0" w14:paraId="10DD8204" w14:textId="77777777" w:rsidTr="002344B5">
        <w:trPr>
          <w:trHeight w:val="300"/>
        </w:trPr>
        <w:tc>
          <w:tcPr>
            <w:tcW w:w="3539" w:type="dxa"/>
            <w:tcBorders>
              <w:top w:val="nil"/>
              <w:left w:val="nil"/>
              <w:bottom w:val="nil"/>
              <w:right w:val="nil"/>
            </w:tcBorders>
            <w:shd w:val="clear" w:color="000000" w:fill="FFFFFF"/>
            <w:noWrap/>
            <w:vAlign w:val="bottom"/>
            <w:hideMark/>
          </w:tcPr>
          <w:p w14:paraId="321828A8" w14:textId="74481CAD" w:rsidR="00A83BF6" w:rsidRPr="00072DB9" w:rsidRDefault="00A83BF6" w:rsidP="00A83BF6">
            <w:pPr>
              <w:overflowPunct/>
              <w:autoSpaceDE/>
              <w:autoSpaceDN/>
              <w:adjustRightInd/>
              <w:ind w:firstLineChars="300" w:firstLine="660"/>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na koupi</w:t>
            </w:r>
          </w:p>
        </w:tc>
        <w:tc>
          <w:tcPr>
            <w:tcW w:w="1101" w:type="dxa"/>
            <w:tcBorders>
              <w:top w:val="nil"/>
              <w:left w:val="nil"/>
              <w:bottom w:val="nil"/>
              <w:right w:val="single" w:sz="4" w:space="0" w:color="auto"/>
            </w:tcBorders>
            <w:shd w:val="clear" w:color="000000" w:fill="FFFFFF"/>
            <w:noWrap/>
            <w:vAlign w:val="center"/>
            <w:hideMark/>
          </w:tcPr>
          <w:p w14:paraId="63DC905E" w14:textId="759729D9"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21,3</w:t>
            </w:r>
          </w:p>
        </w:tc>
        <w:tc>
          <w:tcPr>
            <w:tcW w:w="960" w:type="dxa"/>
            <w:tcBorders>
              <w:top w:val="nil"/>
              <w:left w:val="nil"/>
              <w:bottom w:val="nil"/>
              <w:right w:val="single" w:sz="4" w:space="0" w:color="auto"/>
            </w:tcBorders>
            <w:shd w:val="clear" w:color="000000" w:fill="FFFFFF"/>
            <w:noWrap/>
            <w:vAlign w:val="center"/>
            <w:hideMark/>
          </w:tcPr>
          <w:p w14:paraId="1F9B5019" w14:textId="3EE25D42"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5 187</w:t>
            </w:r>
          </w:p>
        </w:tc>
        <w:tc>
          <w:tcPr>
            <w:tcW w:w="960" w:type="dxa"/>
            <w:tcBorders>
              <w:top w:val="nil"/>
              <w:left w:val="nil"/>
              <w:bottom w:val="nil"/>
              <w:right w:val="nil"/>
            </w:tcBorders>
            <w:shd w:val="clear" w:color="000000" w:fill="FFFFFF"/>
            <w:noWrap/>
            <w:vAlign w:val="center"/>
            <w:hideMark/>
          </w:tcPr>
          <w:p w14:paraId="245CA2C7" w14:textId="329C0036"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4,67</w:t>
            </w:r>
          </w:p>
        </w:tc>
      </w:tr>
      <w:tr w:rsidR="00A83BF6" w:rsidRPr="002138C0" w14:paraId="6815BAA0" w14:textId="77777777" w:rsidTr="002344B5">
        <w:trPr>
          <w:trHeight w:val="300"/>
        </w:trPr>
        <w:tc>
          <w:tcPr>
            <w:tcW w:w="3539" w:type="dxa"/>
            <w:tcBorders>
              <w:top w:val="nil"/>
              <w:left w:val="nil"/>
              <w:bottom w:val="nil"/>
              <w:right w:val="nil"/>
            </w:tcBorders>
            <w:shd w:val="clear" w:color="000000" w:fill="FFFFFF"/>
            <w:noWrap/>
            <w:vAlign w:val="bottom"/>
            <w:hideMark/>
          </w:tcPr>
          <w:p w14:paraId="1CD17F24" w14:textId="02A472AC" w:rsidR="00A83BF6" w:rsidRPr="00072DB9" w:rsidRDefault="00A83BF6" w:rsidP="00A83BF6">
            <w:pPr>
              <w:overflowPunct/>
              <w:autoSpaceDE/>
              <w:autoSpaceDN/>
              <w:adjustRightInd/>
              <w:ind w:firstLineChars="300" w:firstLine="660"/>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na výstavbu</w:t>
            </w:r>
          </w:p>
        </w:tc>
        <w:tc>
          <w:tcPr>
            <w:tcW w:w="1101" w:type="dxa"/>
            <w:tcBorders>
              <w:top w:val="nil"/>
              <w:left w:val="nil"/>
              <w:bottom w:val="nil"/>
              <w:right w:val="single" w:sz="4" w:space="0" w:color="auto"/>
            </w:tcBorders>
            <w:shd w:val="clear" w:color="000000" w:fill="FFFFFF"/>
            <w:noWrap/>
            <w:vAlign w:val="center"/>
            <w:hideMark/>
          </w:tcPr>
          <w:p w14:paraId="2C073796" w14:textId="76B6BEC4"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4,4</w:t>
            </w:r>
          </w:p>
        </w:tc>
        <w:tc>
          <w:tcPr>
            <w:tcW w:w="960" w:type="dxa"/>
            <w:tcBorders>
              <w:top w:val="nil"/>
              <w:left w:val="nil"/>
              <w:bottom w:val="nil"/>
              <w:right w:val="single" w:sz="4" w:space="0" w:color="auto"/>
            </w:tcBorders>
            <w:shd w:val="clear" w:color="000000" w:fill="FFFFFF"/>
            <w:noWrap/>
            <w:vAlign w:val="center"/>
            <w:hideMark/>
          </w:tcPr>
          <w:p w14:paraId="2BEC2F1D" w14:textId="2564B838"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1 114</w:t>
            </w:r>
          </w:p>
        </w:tc>
        <w:tc>
          <w:tcPr>
            <w:tcW w:w="960" w:type="dxa"/>
            <w:tcBorders>
              <w:top w:val="nil"/>
              <w:left w:val="nil"/>
              <w:bottom w:val="nil"/>
              <w:right w:val="nil"/>
            </w:tcBorders>
            <w:shd w:val="clear" w:color="000000" w:fill="FFFFFF"/>
            <w:noWrap/>
            <w:vAlign w:val="center"/>
            <w:hideMark/>
          </w:tcPr>
          <w:p w14:paraId="1ED8392A" w14:textId="13573B06"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4,66</w:t>
            </w:r>
          </w:p>
        </w:tc>
      </w:tr>
      <w:tr w:rsidR="00A83BF6" w:rsidRPr="002138C0" w14:paraId="13F97586"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24A57913" w14:textId="6B59A630" w:rsidR="00A83BF6" w:rsidRPr="00072DB9" w:rsidRDefault="00A83BF6" w:rsidP="00A83BF6">
            <w:pPr>
              <w:overflowPunct/>
              <w:autoSpaceDE/>
              <w:autoSpaceDN/>
              <w:adjustRightInd/>
              <w:ind w:firstLineChars="300" w:firstLine="660"/>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ostatní</w:t>
            </w:r>
          </w:p>
        </w:tc>
        <w:tc>
          <w:tcPr>
            <w:tcW w:w="1101" w:type="dxa"/>
            <w:tcBorders>
              <w:top w:val="nil"/>
              <w:left w:val="nil"/>
              <w:bottom w:val="single" w:sz="4" w:space="0" w:color="auto"/>
              <w:right w:val="single" w:sz="4" w:space="0" w:color="auto"/>
            </w:tcBorders>
            <w:shd w:val="clear" w:color="000000" w:fill="FFFFFF"/>
            <w:noWrap/>
            <w:vAlign w:val="center"/>
            <w:hideMark/>
          </w:tcPr>
          <w:p w14:paraId="7B22856C" w14:textId="1103ADBF"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1,4</w:t>
            </w:r>
          </w:p>
        </w:tc>
        <w:tc>
          <w:tcPr>
            <w:tcW w:w="960" w:type="dxa"/>
            <w:tcBorders>
              <w:top w:val="nil"/>
              <w:left w:val="nil"/>
              <w:bottom w:val="single" w:sz="4" w:space="0" w:color="auto"/>
              <w:right w:val="single" w:sz="4" w:space="0" w:color="auto"/>
            </w:tcBorders>
            <w:shd w:val="clear" w:color="000000" w:fill="FFFFFF"/>
            <w:noWrap/>
            <w:vAlign w:val="center"/>
            <w:hideMark/>
          </w:tcPr>
          <w:p w14:paraId="766570EC" w14:textId="42711E04"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379</w:t>
            </w:r>
          </w:p>
        </w:tc>
        <w:tc>
          <w:tcPr>
            <w:tcW w:w="960" w:type="dxa"/>
            <w:tcBorders>
              <w:top w:val="nil"/>
              <w:left w:val="nil"/>
              <w:bottom w:val="single" w:sz="4" w:space="0" w:color="auto"/>
              <w:right w:val="nil"/>
            </w:tcBorders>
            <w:shd w:val="clear" w:color="000000" w:fill="FFFFFF"/>
            <w:noWrap/>
            <w:vAlign w:val="center"/>
            <w:hideMark/>
          </w:tcPr>
          <w:p w14:paraId="2CAA1522" w14:textId="7D87C97A"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4,91</w:t>
            </w:r>
          </w:p>
        </w:tc>
      </w:tr>
      <w:tr w:rsidR="00A83BF6" w:rsidRPr="002138C0" w14:paraId="219FB66B"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641E43AF" w14:textId="77777777" w:rsidR="00A83BF6" w:rsidRPr="00072DB9" w:rsidRDefault="00A83BF6" w:rsidP="00A83BF6">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072DB9">
              <w:rPr>
                <w:rFonts w:ascii="Calibri Light" w:hAnsi="Calibri Light" w:cs="Calibri Light"/>
                <w:b/>
                <w:bCs/>
                <w:color w:val="000000"/>
                <w:sz w:val="22"/>
                <w:szCs w:val="22"/>
              </w:rPr>
              <w:t>Refinancované z jiné instituce</w:t>
            </w:r>
          </w:p>
        </w:tc>
        <w:tc>
          <w:tcPr>
            <w:tcW w:w="1101" w:type="dxa"/>
            <w:tcBorders>
              <w:top w:val="nil"/>
              <w:left w:val="nil"/>
              <w:bottom w:val="single" w:sz="4" w:space="0" w:color="auto"/>
              <w:right w:val="single" w:sz="4" w:space="0" w:color="auto"/>
            </w:tcBorders>
            <w:shd w:val="clear" w:color="000000" w:fill="FFFFFF"/>
            <w:noWrap/>
            <w:vAlign w:val="center"/>
            <w:hideMark/>
          </w:tcPr>
          <w:p w14:paraId="78177EA4" w14:textId="5DEE197F" w:rsidR="00A83BF6" w:rsidRPr="00072DB9" w:rsidRDefault="00A83BF6" w:rsidP="00A83BF6">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color w:val="000000"/>
                <w:sz w:val="22"/>
                <w:szCs w:val="22"/>
              </w:rPr>
              <w:t>4,4</w:t>
            </w:r>
          </w:p>
        </w:tc>
        <w:tc>
          <w:tcPr>
            <w:tcW w:w="960" w:type="dxa"/>
            <w:tcBorders>
              <w:top w:val="nil"/>
              <w:left w:val="nil"/>
              <w:bottom w:val="single" w:sz="4" w:space="0" w:color="auto"/>
              <w:right w:val="single" w:sz="4" w:space="0" w:color="auto"/>
            </w:tcBorders>
            <w:shd w:val="clear" w:color="000000" w:fill="FFFFFF"/>
            <w:noWrap/>
            <w:vAlign w:val="center"/>
            <w:hideMark/>
          </w:tcPr>
          <w:p w14:paraId="38625343" w14:textId="60404A3E"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1 365</w:t>
            </w:r>
          </w:p>
        </w:tc>
        <w:tc>
          <w:tcPr>
            <w:tcW w:w="960" w:type="dxa"/>
            <w:tcBorders>
              <w:top w:val="nil"/>
              <w:left w:val="nil"/>
              <w:bottom w:val="single" w:sz="4" w:space="0" w:color="auto"/>
              <w:right w:val="nil"/>
            </w:tcBorders>
            <w:shd w:val="clear" w:color="000000" w:fill="FFFFFF"/>
            <w:noWrap/>
            <w:vAlign w:val="center"/>
            <w:hideMark/>
          </w:tcPr>
          <w:p w14:paraId="2F210A95" w14:textId="7B324899" w:rsidR="00A83BF6" w:rsidRPr="00072DB9" w:rsidRDefault="00A83BF6" w:rsidP="00A83BF6">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color w:val="000000"/>
                <w:sz w:val="22"/>
                <w:szCs w:val="22"/>
              </w:rPr>
              <w:t>4,65</w:t>
            </w:r>
          </w:p>
        </w:tc>
      </w:tr>
      <w:tr w:rsidR="00A83BF6" w:rsidRPr="002138C0" w14:paraId="3D627EA7"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0725FADF" w14:textId="733CDA02" w:rsidR="00A83BF6" w:rsidRPr="00072DB9" w:rsidRDefault="00A83BF6" w:rsidP="00A83BF6">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072DB9">
              <w:rPr>
                <w:rFonts w:ascii="Calibri Light" w:hAnsi="Calibri Light" w:cs="Calibri Light"/>
                <w:b/>
                <w:bCs/>
                <w:color w:val="000000"/>
                <w:sz w:val="22"/>
                <w:szCs w:val="22"/>
              </w:rPr>
              <w:t>Refinancované interně</w:t>
            </w:r>
          </w:p>
        </w:tc>
        <w:tc>
          <w:tcPr>
            <w:tcW w:w="1101" w:type="dxa"/>
            <w:tcBorders>
              <w:top w:val="nil"/>
              <w:left w:val="nil"/>
              <w:bottom w:val="single" w:sz="4" w:space="0" w:color="auto"/>
              <w:right w:val="single" w:sz="4" w:space="0" w:color="auto"/>
            </w:tcBorders>
            <w:shd w:val="clear" w:color="000000" w:fill="FFFFFF"/>
            <w:noWrap/>
            <w:vAlign w:val="center"/>
            <w:hideMark/>
          </w:tcPr>
          <w:p w14:paraId="5715E1E0" w14:textId="5FBA9E50" w:rsidR="00A83BF6" w:rsidRPr="00072DB9" w:rsidRDefault="00A83BF6" w:rsidP="00A83BF6">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color w:val="000000"/>
                <w:sz w:val="22"/>
                <w:szCs w:val="22"/>
              </w:rPr>
              <w:t>1,2</w:t>
            </w:r>
          </w:p>
        </w:tc>
        <w:tc>
          <w:tcPr>
            <w:tcW w:w="960" w:type="dxa"/>
            <w:tcBorders>
              <w:top w:val="nil"/>
              <w:left w:val="nil"/>
              <w:bottom w:val="single" w:sz="4" w:space="0" w:color="auto"/>
              <w:right w:val="single" w:sz="4" w:space="0" w:color="auto"/>
            </w:tcBorders>
            <w:shd w:val="clear" w:color="000000" w:fill="FFFFFF"/>
            <w:noWrap/>
            <w:vAlign w:val="center"/>
            <w:hideMark/>
          </w:tcPr>
          <w:p w14:paraId="7D87364C" w14:textId="75E5D2EC" w:rsidR="00A83BF6" w:rsidRPr="00072DB9" w:rsidRDefault="00A83BF6" w:rsidP="00A83BF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337</w:t>
            </w:r>
          </w:p>
        </w:tc>
        <w:tc>
          <w:tcPr>
            <w:tcW w:w="960" w:type="dxa"/>
            <w:tcBorders>
              <w:top w:val="nil"/>
              <w:left w:val="nil"/>
              <w:bottom w:val="single" w:sz="4" w:space="0" w:color="auto"/>
              <w:right w:val="nil"/>
            </w:tcBorders>
            <w:shd w:val="clear" w:color="000000" w:fill="FFFFFF"/>
            <w:noWrap/>
            <w:vAlign w:val="center"/>
            <w:hideMark/>
          </w:tcPr>
          <w:p w14:paraId="473AFF57" w14:textId="13D8E1B3" w:rsidR="00A83BF6" w:rsidRPr="00072DB9" w:rsidRDefault="00A83BF6" w:rsidP="00A83BF6">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color w:val="000000"/>
                <w:sz w:val="22"/>
                <w:szCs w:val="22"/>
              </w:rPr>
              <w:t>4,67</w:t>
            </w:r>
          </w:p>
        </w:tc>
      </w:tr>
      <w:tr w:rsidR="006E04F7" w:rsidRPr="002138C0" w14:paraId="763F0D46" w14:textId="77777777" w:rsidTr="00356809">
        <w:trPr>
          <w:trHeight w:val="300"/>
        </w:trPr>
        <w:tc>
          <w:tcPr>
            <w:tcW w:w="3539" w:type="dxa"/>
            <w:tcBorders>
              <w:top w:val="nil"/>
              <w:left w:val="nil"/>
              <w:bottom w:val="nil"/>
              <w:right w:val="nil"/>
            </w:tcBorders>
            <w:shd w:val="clear" w:color="000000" w:fill="FFFFFF"/>
            <w:noWrap/>
            <w:vAlign w:val="bottom"/>
            <w:hideMark/>
          </w:tcPr>
          <w:p w14:paraId="06A1A28A" w14:textId="63A22841" w:rsidR="006E04F7" w:rsidRPr="00072DB9" w:rsidRDefault="006E04F7" w:rsidP="00356809">
            <w:pPr>
              <w:overflowPunct/>
              <w:autoSpaceDE/>
              <w:autoSpaceDN/>
              <w:adjustRightInd/>
              <w:jc w:val="left"/>
              <w:textAlignment w:val="auto"/>
              <w:rPr>
                <w:rFonts w:ascii="Calibri Light" w:hAnsi="Calibri Light" w:cs="Calibri Light"/>
                <w:color w:val="13576B"/>
                <w:sz w:val="20"/>
              </w:rPr>
            </w:pPr>
            <w:r w:rsidRPr="00072DB9">
              <w:rPr>
                <w:rFonts w:ascii="Calibri Light" w:hAnsi="Calibri Light" w:cs="Calibri Light"/>
                <w:color w:val="13576B"/>
                <w:sz w:val="20"/>
              </w:rPr>
              <w:t>Pramen: ČBA Hypomonitor</w:t>
            </w:r>
          </w:p>
        </w:tc>
        <w:tc>
          <w:tcPr>
            <w:tcW w:w="1101" w:type="dxa"/>
            <w:tcBorders>
              <w:top w:val="nil"/>
              <w:left w:val="nil"/>
              <w:bottom w:val="nil"/>
              <w:right w:val="nil"/>
            </w:tcBorders>
            <w:shd w:val="clear" w:color="000000" w:fill="FFFFFF"/>
            <w:noWrap/>
            <w:vAlign w:val="bottom"/>
            <w:hideMark/>
          </w:tcPr>
          <w:p w14:paraId="01E541C2" w14:textId="77777777" w:rsidR="006E04F7" w:rsidRPr="00072DB9" w:rsidRDefault="006E04F7" w:rsidP="00356809">
            <w:pPr>
              <w:overflowPunct/>
              <w:autoSpaceDE/>
              <w:autoSpaceDN/>
              <w:adjustRightInd/>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531856BD" w14:textId="77777777" w:rsidR="006E04F7" w:rsidRPr="00072DB9" w:rsidRDefault="006E04F7" w:rsidP="00356809">
            <w:pPr>
              <w:overflowPunct/>
              <w:autoSpaceDE/>
              <w:autoSpaceDN/>
              <w:adjustRightInd/>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67C47165" w14:textId="77777777" w:rsidR="006E04F7" w:rsidRPr="00072DB9" w:rsidRDefault="006E04F7" w:rsidP="00356809">
            <w:pPr>
              <w:overflowPunct/>
              <w:autoSpaceDE/>
              <w:autoSpaceDN/>
              <w:adjustRightInd/>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w:t>
            </w:r>
          </w:p>
        </w:tc>
      </w:tr>
    </w:tbl>
    <w:p w14:paraId="7D8871E8" w14:textId="68F32724" w:rsidR="000B0992" w:rsidRDefault="006E2E7E" w:rsidP="00237E0B">
      <w:pPr>
        <w:spacing w:before="120" w:after="120"/>
        <w:rPr>
          <w:rFonts w:ascii="Calibri" w:hAnsi="Calibri" w:cs="Calibri"/>
          <w:b/>
          <w:bCs/>
          <w:sz w:val="22"/>
          <w:szCs w:val="22"/>
          <w:highlight w:val="yellow"/>
        </w:rPr>
      </w:pPr>
      <w:r w:rsidRPr="00A83BF6">
        <w:rPr>
          <w:rFonts w:ascii="Calibri" w:hAnsi="Calibri" w:cs="Calibri"/>
          <w:b/>
          <w:bCs/>
          <w:noProof/>
          <w:sz w:val="22"/>
          <w:szCs w:val="22"/>
          <w:highlight w:val="yellow"/>
        </w:rPr>
        <w:lastRenderedPageBreak/>
        <mc:AlternateContent>
          <mc:Choice Requires="wps">
            <w:drawing>
              <wp:anchor distT="0" distB="0" distL="114300" distR="114300" simplePos="0" relativeHeight="251684864" behindDoc="0" locked="0" layoutInCell="1" allowOverlap="1" wp14:anchorId="5AEAF1E5" wp14:editId="2DD53EB6">
                <wp:simplePos x="0" y="0"/>
                <wp:positionH relativeFrom="margin">
                  <wp:posOffset>0</wp:posOffset>
                </wp:positionH>
                <wp:positionV relativeFrom="paragraph">
                  <wp:posOffset>323850</wp:posOffset>
                </wp:positionV>
                <wp:extent cx="6519545" cy="1019175"/>
                <wp:effectExtent l="0" t="0" r="14605" b="28575"/>
                <wp:wrapTopAndBottom/>
                <wp:docPr id="485612704" name="Rectangle 1"/>
                <wp:cNvGraphicFramePr/>
                <a:graphic xmlns:a="http://schemas.openxmlformats.org/drawingml/2006/main">
                  <a:graphicData uri="http://schemas.microsoft.com/office/word/2010/wordprocessingShape">
                    <wps:wsp>
                      <wps:cNvSpPr/>
                      <wps:spPr>
                        <a:xfrm>
                          <a:off x="0" y="0"/>
                          <a:ext cx="6519545" cy="10191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86E50D" w14:textId="1E59752E" w:rsidR="006E2E7E" w:rsidRPr="00287580" w:rsidRDefault="0023390F" w:rsidP="006E2E7E">
                            <w:pPr>
                              <w:rPr>
                                <w:b/>
                                <w:bCs/>
                              </w:rPr>
                            </w:pPr>
                            <w:r>
                              <w:rPr>
                                <w:rFonts w:ascii="Calibri" w:hAnsi="Calibri" w:cs="Calibri"/>
                                <w:i/>
                                <w:iCs/>
                                <w:color w:val="000000" w:themeColor="text1"/>
                                <w:sz w:val="22"/>
                                <w:szCs w:val="22"/>
                              </w:rPr>
                              <w:t>„</w:t>
                            </w:r>
                            <w:r w:rsidR="006E2E7E" w:rsidRPr="008B62E9">
                              <w:rPr>
                                <w:rFonts w:ascii="Calibri" w:hAnsi="Calibri" w:cs="Calibri"/>
                                <w:i/>
                                <w:iCs/>
                                <w:color w:val="000000" w:themeColor="text1"/>
                                <w:sz w:val="22"/>
                                <w:szCs w:val="22"/>
                              </w:rPr>
                              <w:t xml:space="preserve">Zejména v růstu prodejů vidíme zvýšenou dynamiku, ke které přispěla i únorová akční nabídka </w:t>
                            </w:r>
                            <w:r w:rsidR="006E2E7E">
                              <w:rPr>
                                <w:rFonts w:ascii="Calibri" w:hAnsi="Calibri" w:cs="Calibri"/>
                                <w:i/>
                                <w:iCs/>
                                <w:color w:val="000000" w:themeColor="text1"/>
                                <w:sz w:val="22"/>
                                <w:szCs w:val="22"/>
                              </w:rPr>
                              <w:t>některých bank</w:t>
                            </w:r>
                            <w:r w:rsidR="006E2E7E" w:rsidRPr="008B62E9">
                              <w:rPr>
                                <w:rFonts w:ascii="Calibri" w:hAnsi="Calibri" w:cs="Calibri"/>
                                <w:i/>
                                <w:iCs/>
                                <w:color w:val="000000" w:themeColor="text1"/>
                                <w:sz w:val="22"/>
                                <w:szCs w:val="22"/>
                              </w:rPr>
                              <w:t>, kdy právě v březnu se podepisovala většina smluv z této nabídky. Aktuální čísla z hypotečního i nemovitostního trhu zároveň ukazují, že i přes relativně mírný pokles úrokových sazeb poptávka lidí po vlastním bydlení významně roste</w:t>
                            </w:r>
                            <w:r>
                              <w:rPr>
                                <w:rFonts w:ascii="Calibri" w:hAnsi="Calibri" w:cs="Calibri"/>
                                <w:i/>
                                <w:iCs/>
                                <w:color w:val="000000" w:themeColor="text1"/>
                                <w:sz w:val="22"/>
                                <w:szCs w:val="22"/>
                              </w:rPr>
                              <w:t>,</w:t>
                            </w:r>
                            <w:r w:rsidR="006E2E7E" w:rsidRPr="001177C9">
                              <w:rPr>
                                <w:rFonts w:ascii="Calibri" w:hAnsi="Calibri" w:cs="Calibri"/>
                                <w:i/>
                                <w:iCs/>
                                <w:sz w:val="22"/>
                                <w:szCs w:val="22"/>
                              </w:rPr>
                              <w:t xml:space="preserve">“ </w:t>
                            </w:r>
                            <w:r w:rsidR="006E2E7E" w:rsidRPr="007F690B">
                              <w:rPr>
                                <w:rFonts w:ascii="Calibri" w:hAnsi="Calibri" w:cs="Calibri"/>
                                <w:sz w:val="22"/>
                                <w:szCs w:val="22"/>
                              </w:rPr>
                              <w:t xml:space="preserve">říká </w:t>
                            </w:r>
                            <w:r w:rsidR="006E2E7E" w:rsidRPr="008B62E9">
                              <w:rPr>
                                <w:rFonts w:ascii="Calibri" w:hAnsi="Calibri" w:cs="Calibri"/>
                                <w:b/>
                                <w:bCs/>
                                <w:sz w:val="22"/>
                                <w:szCs w:val="22"/>
                              </w:rPr>
                              <w:t>Ondřej Šuchman</w:t>
                            </w:r>
                            <w:r w:rsidR="006E2E7E" w:rsidRPr="007F690B">
                              <w:rPr>
                                <w:rFonts w:ascii="Calibri" w:hAnsi="Calibri" w:cs="Calibri"/>
                                <w:b/>
                                <w:bCs/>
                                <w:sz w:val="22"/>
                                <w:szCs w:val="22"/>
                              </w:rPr>
                              <w:t xml:space="preserve">, </w:t>
                            </w:r>
                            <w:r w:rsidR="006E2E7E" w:rsidRPr="008B62E9">
                              <w:rPr>
                                <w:rFonts w:ascii="Calibri" w:eastAsia="Calibri" w:hAnsi="Calibri" w:cs="Calibri"/>
                                <w:b/>
                                <w:bCs/>
                                <w:sz w:val="22"/>
                                <w:szCs w:val="22"/>
                              </w:rPr>
                              <w:t>manažer hypoték z Komerční banky</w:t>
                            </w:r>
                            <w:r w:rsidR="006E2E7E" w:rsidRPr="00631033">
                              <w:rPr>
                                <w:rFonts w:ascii="Calibri" w:eastAsia="Calibri" w:hAnsi="Calibri" w:cs="Calibri"/>
                                <w:b/>
                                <w:bCs/>
                                <w:sz w:val="22"/>
                                <w:szCs w:val="22"/>
                              </w:rPr>
                              <w:t>.</w:t>
                            </w:r>
                          </w:p>
                          <w:p w14:paraId="7E0DEF3F" w14:textId="77777777" w:rsidR="006E2E7E" w:rsidRPr="00A72DB7" w:rsidRDefault="006E2E7E" w:rsidP="006E2E7E">
                            <w:pPr>
                              <w:rPr>
                                <w:rFonts w:ascii="Calibri" w:hAnsi="Calibri" w:cs="Calibri"/>
                                <w:b/>
                                <w:b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AF1E5" id="Rectangle 1" o:spid="_x0000_s1026" style="position:absolute;left:0;text-align:left;margin-left:0;margin-top:25.5pt;width:513.35pt;height:80.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" fillcolor="white [3201]" strokecolor="black [3213]" strokeweight=".5pt">
                <v:textbox>
                  <w:txbxContent>
                    <w:p w14:paraId="1C86E50D" w14:textId="1E59752E" w:rsidR="006E2E7E" w:rsidRPr="00287580" w:rsidRDefault="0023390F" w:rsidP="006E2E7E">
                      <w:pPr>
                        <w:rPr>
                          <w:b/>
                          <w:bCs/>
                        </w:rPr>
                      </w:pPr>
                      <w:r>
                        <w:rPr>
                          <w:rFonts w:ascii="Calibri" w:hAnsi="Calibri" w:cs="Calibri"/>
                          <w:i/>
                          <w:iCs/>
                          <w:color w:val="000000" w:themeColor="text1"/>
                          <w:sz w:val="22"/>
                          <w:szCs w:val="22"/>
                        </w:rPr>
                        <w:t>„</w:t>
                      </w:r>
                      <w:r w:rsidR="006E2E7E" w:rsidRPr="008B62E9">
                        <w:rPr>
                          <w:rFonts w:ascii="Calibri" w:hAnsi="Calibri" w:cs="Calibri"/>
                          <w:i/>
                          <w:iCs/>
                          <w:color w:val="000000" w:themeColor="text1"/>
                          <w:sz w:val="22"/>
                          <w:szCs w:val="22"/>
                        </w:rPr>
                        <w:t xml:space="preserve">Zejména v růstu prodejů vidíme zvýšenou dynamiku, ke které přispěla i únorová akční nabídka </w:t>
                      </w:r>
                      <w:r w:rsidR="006E2E7E">
                        <w:rPr>
                          <w:rFonts w:ascii="Calibri" w:hAnsi="Calibri" w:cs="Calibri"/>
                          <w:i/>
                          <w:iCs/>
                          <w:color w:val="000000" w:themeColor="text1"/>
                          <w:sz w:val="22"/>
                          <w:szCs w:val="22"/>
                        </w:rPr>
                        <w:t>některých bank</w:t>
                      </w:r>
                      <w:r w:rsidR="006E2E7E" w:rsidRPr="008B62E9">
                        <w:rPr>
                          <w:rFonts w:ascii="Calibri" w:hAnsi="Calibri" w:cs="Calibri"/>
                          <w:i/>
                          <w:iCs/>
                          <w:color w:val="000000" w:themeColor="text1"/>
                          <w:sz w:val="22"/>
                          <w:szCs w:val="22"/>
                        </w:rPr>
                        <w:t>, kdy právě v březnu se podepisovala většina smluv z této nabídky. Aktuální čísla z hypotečního i nemovitostního trhu zároveň ukazují, že i přes relativně mírný pokles úrokových sazeb poptávka lidí po vlastním bydlení významně roste</w:t>
                      </w:r>
                      <w:r>
                        <w:rPr>
                          <w:rFonts w:ascii="Calibri" w:hAnsi="Calibri" w:cs="Calibri"/>
                          <w:i/>
                          <w:iCs/>
                          <w:color w:val="000000" w:themeColor="text1"/>
                          <w:sz w:val="22"/>
                          <w:szCs w:val="22"/>
                        </w:rPr>
                        <w:t>,</w:t>
                      </w:r>
                      <w:r w:rsidR="006E2E7E" w:rsidRPr="001177C9">
                        <w:rPr>
                          <w:rFonts w:ascii="Calibri" w:hAnsi="Calibri" w:cs="Calibri"/>
                          <w:i/>
                          <w:iCs/>
                          <w:sz w:val="22"/>
                          <w:szCs w:val="22"/>
                        </w:rPr>
                        <w:t xml:space="preserve">“ </w:t>
                      </w:r>
                      <w:r w:rsidR="006E2E7E" w:rsidRPr="007F690B">
                        <w:rPr>
                          <w:rFonts w:ascii="Calibri" w:hAnsi="Calibri" w:cs="Calibri"/>
                          <w:sz w:val="22"/>
                          <w:szCs w:val="22"/>
                        </w:rPr>
                        <w:t xml:space="preserve">říká </w:t>
                      </w:r>
                      <w:r w:rsidR="006E2E7E" w:rsidRPr="008B62E9">
                        <w:rPr>
                          <w:rFonts w:ascii="Calibri" w:hAnsi="Calibri" w:cs="Calibri"/>
                          <w:b/>
                          <w:bCs/>
                          <w:sz w:val="22"/>
                          <w:szCs w:val="22"/>
                        </w:rPr>
                        <w:t>Ondřej Šuchman</w:t>
                      </w:r>
                      <w:r w:rsidR="006E2E7E" w:rsidRPr="007F690B">
                        <w:rPr>
                          <w:rFonts w:ascii="Calibri" w:hAnsi="Calibri" w:cs="Calibri"/>
                          <w:b/>
                          <w:bCs/>
                          <w:sz w:val="22"/>
                          <w:szCs w:val="22"/>
                        </w:rPr>
                        <w:t xml:space="preserve">, </w:t>
                      </w:r>
                      <w:r w:rsidR="006E2E7E" w:rsidRPr="008B62E9">
                        <w:rPr>
                          <w:rFonts w:ascii="Calibri" w:eastAsia="Calibri" w:hAnsi="Calibri" w:cs="Calibri"/>
                          <w:b/>
                          <w:bCs/>
                          <w:sz w:val="22"/>
                          <w:szCs w:val="22"/>
                        </w:rPr>
                        <w:t>manažer hypoték z Komerční banky</w:t>
                      </w:r>
                      <w:r w:rsidR="006E2E7E" w:rsidRPr="00631033">
                        <w:rPr>
                          <w:rFonts w:ascii="Calibri" w:eastAsia="Calibri" w:hAnsi="Calibri" w:cs="Calibri"/>
                          <w:b/>
                          <w:bCs/>
                          <w:sz w:val="22"/>
                          <w:szCs w:val="22"/>
                        </w:rPr>
                        <w:t>.</w:t>
                      </w:r>
                    </w:p>
                    <w:p w14:paraId="7E0DEF3F" w14:textId="77777777" w:rsidR="006E2E7E" w:rsidRPr="00A72DB7" w:rsidRDefault="006E2E7E" w:rsidP="006E2E7E">
                      <w:pPr>
                        <w:rPr>
                          <w:rFonts w:ascii="Calibri" w:hAnsi="Calibri" w:cs="Calibri"/>
                          <w:b/>
                          <w:bCs/>
                          <w:sz w:val="22"/>
                          <w:szCs w:val="22"/>
                        </w:rPr>
                      </w:pPr>
                    </w:p>
                  </w:txbxContent>
                </v:textbox>
                <w10:wrap type="topAndBottom" anchorx="margin"/>
              </v:rect>
            </w:pict>
          </mc:Fallback>
        </mc:AlternateContent>
      </w:r>
    </w:p>
    <w:p w14:paraId="72BA020B" w14:textId="77777777" w:rsidR="000B064D" w:rsidRDefault="000B064D" w:rsidP="00237E0B">
      <w:pPr>
        <w:spacing w:before="120" w:after="120"/>
        <w:rPr>
          <w:rFonts w:ascii="Calibri" w:hAnsi="Calibri" w:cs="Calibri"/>
          <w:b/>
          <w:bCs/>
          <w:color w:val="000000"/>
          <w:sz w:val="22"/>
          <w:szCs w:val="22"/>
        </w:rPr>
      </w:pPr>
    </w:p>
    <w:p w14:paraId="105092DF" w14:textId="11A15D49" w:rsidR="00F40055" w:rsidRDefault="00A83BF6" w:rsidP="00237E0B">
      <w:pPr>
        <w:spacing w:before="120" w:after="120"/>
        <w:rPr>
          <w:rFonts w:ascii="Calibri" w:hAnsi="Calibri" w:cs="Calibri"/>
          <w:color w:val="000000"/>
          <w:sz w:val="22"/>
          <w:szCs w:val="22"/>
        </w:rPr>
      </w:pPr>
      <w:r w:rsidRPr="00A83BF6">
        <w:rPr>
          <w:rFonts w:ascii="Calibri" w:hAnsi="Calibri" w:cs="Calibri"/>
          <w:b/>
          <w:bCs/>
          <w:color w:val="000000"/>
          <w:sz w:val="22"/>
          <w:szCs w:val="22"/>
        </w:rPr>
        <w:t>Objem refinancovaných úvěrů (interně či z jiné instituce) v březnu stoupl na 5,7 mld. Kč.</w:t>
      </w:r>
      <w:r w:rsidRPr="00A83BF6">
        <w:rPr>
          <w:rFonts w:ascii="Calibri" w:hAnsi="Calibri" w:cs="Calibri"/>
          <w:color w:val="000000"/>
          <w:sz w:val="22"/>
          <w:szCs w:val="22"/>
        </w:rPr>
        <w:t xml:space="preserve"> To je o 45 % více než průměrných 3,9 miliard</w:t>
      </w:r>
      <w:r w:rsidR="0023390F">
        <w:rPr>
          <w:rFonts w:ascii="Calibri" w:hAnsi="Calibri" w:cs="Calibri"/>
          <w:color w:val="000000"/>
          <w:sz w:val="22"/>
          <w:szCs w:val="22"/>
        </w:rPr>
        <w:t>y</w:t>
      </w:r>
      <w:r w:rsidRPr="00A83BF6">
        <w:rPr>
          <w:rFonts w:ascii="Calibri" w:hAnsi="Calibri" w:cs="Calibri"/>
          <w:color w:val="000000"/>
          <w:sz w:val="22"/>
          <w:szCs w:val="22"/>
        </w:rPr>
        <w:t xml:space="preserve"> refinancovaných </w:t>
      </w:r>
      <w:r w:rsidR="0023390F">
        <w:rPr>
          <w:rFonts w:ascii="Calibri" w:hAnsi="Calibri" w:cs="Calibri"/>
          <w:color w:val="000000"/>
          <w:sz w:val="22"/>
          <w:szCs w:val="22"/>
        </w:rPr>
        <w:t xml:space="preserve">v </w:t>
      </w:r>
      <w:r w:rsidRPr="00A83BF6">
        <w:rPr>
          <w:rFonts w:ascii="Calibri" w:hAnsi="Calibri" w:cs="Calibri"/>
          <w:color w:val="000000"/>
          <w:sz w:val="22"/>
          <w:szCs w:val="22"/>
        </w:rPr>
        <w:t>loňsk</w:t>
      </w:r>
      <w:r w:rsidR="0023390F">
        <w:rPr>
          <w:rFonts w:ascii="Calibri" w:hAnsi="Calibri" w:cs="Calibri"/>
          <w:color w:val="000000"/>
          <w:sz w:val="22"/>
          <w:szCs w:val="22"/>
        </w:rPr>
        <w:t>ém</w:t>
      </w:r>
      <w:r w:rsidRPr="00A83BF6">
        <w:rPr>
          <w:rFonts w:ascii="Calibri" w:hAnsi="Calibri" w:cs="Calibri"/>
          <w:color w:val="000000"/>
          <w:sz w:val="22"/>
          <w:szCs w:val="22"/>
        </w:rPr>
        <w:t xml:space="preserve"> ro</w:t>
      </w:r>
      <w:r w:rsidR="0023390F">
        <w:rPr>
          <w:rFonts w:ascii="Calibri" w:hAnsi="Calibri" w:cs="Calibri"/>
          <w:color w:val="000000"/>
          <w:sz w:val="22"/>
          <w:szCs w:val="22"/>
        </w:rPr>
        <w:t>ce</w:t>
      </w:r>
      <w:r w:rsidRPr="00A83BF6">
        <w:rPr>
          <w:rFonts w:ascii="Calibri" w:hAnsi="Calibri" w:cs="Calibri"/>
          <w:color w:val="000000"/>
          <w:sz w:val="22"/>
          <w:szCs w:val="22"/>
        </w:rPr>
        <w:t xml:space="preserve"> a o 165 % nad 2,2 miliardami refinancovanými v roce 2023. Podíl refinancovaných úvěrů na celkovém objemu poskytnutých hypoték pak lehce vzrostl na 17,3 %, což je poblíž loňskému průměru 16,9 %. Nachází se tak poblíž 17,2% podílu z let 2022-2023, ovšem stále pod téměř 29% podílem z období 2020-2021, kdy domácnosti refinancovaly za hypoteční sazbu 2,14 %. Zatímco v březnu 2025 se domácnosti refinancovaly za úrokovou sazbu 4,66 %, což je stále o výrazných 0,4% bodu méně než 5,1 % v březnu 2024.</w:t>
      </w:r>
    </w:p>
    <w:bookmarkEnd w:id="1"/>
    <w:bookmarkEnd w:id="2"/>
    <w:bookmarkEnd w:id="3"/>
    <w:p w14:paraId="08C8E336" w14:textId="365E0DDB" w:rsidR="008B62E9" w:rsidRDefault="008B62E9" w:rsidP="009A044E">
      <w:pPr>
        <w:rPr>
          <w:rFonts w:ascii="Calibri" w:hAnsi="Calibri" w:cs="Calibri"/>
          <w:b/>
          <w:color w:val="13576B"/>
          <w:sz w:val="23"/>
          <w:szCs w:val="23"/>
        </w:rPr>
      </w:pPr>
    </w:p>
    <w:p w14:paraId="5A1704D2" w14:textId="1F793A93" w:rsidR="009A044E" w:rsidRDefault="009A044E" w:rsidP="009A044E">
      <w:pPr>
        <w:rPr>
          <w:rFonts w:ascii="Calibri" w:hAnsi="Calibri" w:cs="Calibri"/>
          <w:b/>
          <w:color w:val="13576B"/>
          <w:sz w:val="23"/>
          <w:szCs w:val="23"/>
        </w:rPr>
      </w:pPr>
      <w:r w:rsidRPr="008B048B">
        <w:rPr>
          <w:rFonts w:ascii="Calibri" w:hAnsi="Calibri" w:cs="Calibri"/>
          <w:b/>
          <w:color w:val="13576B"/>
          <w:sz w:val="23"/>
          <w:szCs w:val="23"/>
        </w:rPr>
        <w:t xml:space="preserve">Průměrná hypoteční sazba </w:t>
      </w:r>
      <w:r w:rsidR="00F625CA" w:rsidRPr="008B048B">
        <w:rPr>
          <w:rFonts w:ascii="Calibri" w:hAnsi="Calibri" w:cs="Calibri"/>
          <w:b/>
          <w:color w:val="13576B"/>
          <w:sz w:val="23"/>
          <w:szCs w:val="23"/>
        </w:rPr>
        <w:t xml:space="preserve">pokračuje v klesajícím trendu </w:t>
      </w:r>
    </w:p>
    <w:p w14:paraId="6B970EF6" w14:textId="050D6F9F" w:rsidR="008B048B" w:rsidRPr="008B048B" w:rsidRDefault="008B048B" w:rsidP="009A044E">
      <w:pPr>
        <w:rPr>
          <w:rFonts w:ascii="Calibri" w:hAnsi="Calibri" w:cs="Calibri"/>
          <w:b/>
          <w:color w:val="13576B"/>
          <w:sz w:val="23"/>
          <w:szCs w:val="23"/>
        </w:rPr>
      </w:pPr>
    </w:p>
    <w:p w14:paraId="3A2274C9" w14:textId="7F1A6EAA" w:rsidR="00935AC3" w:rsidRDefault="00A83BF6" w:rsidP="00F625CA">
      <w:pPr>
        <w:rPr>
          <w:rFonts w:ascii="Calibri" w:hAnsi="Calibri" w:cs="Calibri"/>
          <w:b/>
          <w:bCs/>
          <w:color w:val="000000"/>
          <w:sz w:val="22"/>
          <w:szCs w:val="22"/>
        </w:rPr>
      </w:pPr>
      <w:r w:rsidRPr="00A83BF6">
        <w:rPr>
          <w:rFonts w:ascii="Calibri" w:hAnsi="Calibri" w:cs="Calibri"/>
          <w:b/>
          <w:bCs/>
          <w:color w:val="000000"/>
          <w:sz w:val="22"/>
          <w:szCs w:val="22"/>
        </w:rPr>
        <w:t xml:space="preserve">Průměrná realizovaná úroková sazba u nových hypoték dále klesla na 4,68 % z únorových 4,72 %. </w:t>
      </w:r>
      <w:r w:rsidRPr="00A83BF6">
        <w:rPr>
          <w:rFonts w:ascii="Calibri" w:hAnsi="Calibri" w:cs="Calibri"/>
          <w:color w:val="000000"/>
          <w:sz w:val="22"/>
          <w:szCs w:val="22"/>
        </w:rPr>
        <w:t>Její snížení tak potvrzuje klesající trend pod 5 % naposledy zaznamenaných v červenci 2024. Její březnová úroveň je tak o 0,51% bodu níže než 5,19% sazba před rokem, což snižuje měsíční splátky hypotéky přibližně o 1,4 % čistého příjmu žadatele, tedy o 1,2 tis. Kč. Pro srovnání průměrná hodnota hypoteční sazby v roce 2024 dosáhla 5,07 % v porovnání se sazbou 5,81 % v roce 2023.</w:t>
      </w:r>
    </w:p>
    <w:p w14:paraId="7847B546" w14:textId="5AC229F6" w:rsidR="00A83BF6" w:rsidRDefault="00A83BF6" w:rsidP="00F625CA">
      <w:pPr>
        <w:rPr>
          <w:rFonts w:ascii="Calibri" w:hAnsi="Calibri" w:cs="Calibri"/>
          <w:bCs/>
          <w:sz w:val="22"/>
          <w:szCs w:val="22"/>
        </w:rPr>
      </w:pPr>
    </w:p>
    <w:p w14:paraId="6492840A" w14:textId="4C77E40A" w:rsidR="005874B8" w:rsidRDefault="005874B8" w:rsidP="005874B8">
      <w:pPr>
        <w:spacing w:after="120"/>
        <w:rPr>
          <w:rFonts w:ascii="Calibri" w:hAnsi="Calibri" w:cs="Calibri"/>
          <w:b/>
          <w:color w:val="13576B"/>
          <w:sz w:val="23"/>
          <w:szCs w:val="23"/>
        </w:rPr>
      </w:pPr>
      <w:r w:rsidRPr="005B4653">
        <w:rPr>
          <w:rFonts w:ascii="Calibri" w:hAnsi="Calibri" w:cs="Calibri"/>
          <w:b/>
          <w:color w:val="13576B"/>
          <w:sz w:val="23"/>
          <w:szCs w:val="23"/>
        </w:rPr>
        <w:t>Graf č. 1: Průměrná hypoteční sazba – nové obchody</w:t>
      </w:r>
    </w:p>
    <w:p w14:paraId="0F619A9F" w14:textId="6365B540" w:rsidR="0080372E" w:rsidRPr="0080372E" w:rsidRDefault="0080372E" w:rsidP="000B064D">
      <w:pPr>
        <w:rPr>
          <w:rFonts w:ascii="Calibri" w:hAnsi="Calibri" w:cs="Calibri"/>
          <w:bCs/>
          <w:i/>
          <w:iCs/>
          <w:color w:val="13576B"/>
          <w:sz w:val="23"/>
          <w:szCs w:val="23"/>
        </w:rPr>
      </w:pPr>
      <w:r>
        <w:rPr>
          <w:rFonts w:ascii="Calibri" w:hAnsi="Calibri" w:cs="Calibri"/>
          <w:bCs/>
          <w:i/>
          <w:iCs/>
          <w:color w:val="13576B"/>
          <w:sz w:val="23"/>
          <w:szCs w:val="23"/>
        </w:rPr>
        <w:t xml:space="preserve">Březnová výše hypoteční sazby na 4,68 % je přibližně o půl procentního bodu nižší než před rokem. </w:t>
      </w:r>
    </w:p>
    <w:p w14:paraId="63E0611A" w14:textId="07A5D829" w:rsidR="005874B8" w:rsidRDefault="005874B8" w:rsidP="005874B8">
      <w:pPr>
        <w:rPr>
          <w:rFonts w:ascii="Calibri" w:hAnsi="Calibri" w:cs="Calibri"/>
          <w:sz w:val="22"/>
          <w:szCs w:val="22"/>
          <w:highlight w:val="yellow"/>
        </w:rPr>
      </w:pPr>
    </w:p>
    <w:p w14:paraId="29B8C373" w14:textId="3EDD6B72" w:rsidR="007F690B" w:rsidRPr="002138C0" w:rsidRDefault="0033440C" w:rsidP="005874B8">
      <w:pPr>
        <w:rPr>
          <w:rFonts w:ascii="Calibri" w:hAnsi="Calibri" w:cs="Calibri"/>
          <w:sz w:val="22"/>
          <w:szCs w:val="22"/>
          <w:highlight w:val="yellow"/>
        </w:rPr>
      </w:pPr>
      <w:r>
        <w:rPr>
          <w:noProof/>
        </w:rPr>
        <w:drawing>
          <wp:inline distT="0" distB="0" distL="0" distR="0" wp14:anchorId="4F6FC14A" wp14:editId="6FCF736D">
            <wp:extent cx="4990476" cy="2780952"/>
            <wp:effectExtent l="0" t="0" r="635" b="635"/>
            <wp:docPr id="346950379" name="Picture 1" descr="A graph with number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50379" name="Picture 1" descr="A graph with numbers and lines&#10;&#10;AI-generated content may be incorrect."/>
                    <pic:cNvPicPr/>
                  </pic:nvPicPr>
                  <pic:blipFill>
                    <a:blip r:embed="rId11"/>
                    <a:stretch>
                      <a:fillRect/>
                    </a:stretch>
                  </pic:blipFill>
                  <pic:spPr>
                    <a:xfrm>
                      <a:off x="0" y="0"/>
                      <a:ext cx="4990476" cy="2780952"/>
                    </a:xfrm>
                    <a:prstGeom prst="rect">
                      <a:avLst/>
                    </a:prstGeom>
                  </pic:spPr>
                </pic:pic>
              </a:graphicData>
            </a:graphic>
          </wp:inline>
        </w:drawing>
      </w:r>
    </w:p>
    <w:p w14:paraId="62D5F729" w14:textId="08370F86" w:rsidR="00691287" w:rsidRPr="00616069" w:rsidRDefault="00691287" w:rsidP="00691287">
      <w:pPr>
        <w:overflowPunct/>
        <w:autoSpaceDE/>
        <w:adjustRightInd/>
        <w:rPr>
          <w:rFonts w:ascii="Calibri Light" w:hAnsi="Calibri Light" w:cs="Calibri Light"/>
          <w:color w:val="13576B"/>
          <w:sz w:val="20"/>
        </w:rPr>
      </w:pPr>
      <w:r w:rsidRPr="002F4CBD">
        <w:rPr>
          <w:rFonts w:ascii="Calibri Light" w:hAnsi="Calibri Light" w:cs="Calibri Light"/>
          <w:color w:val="13576B"/>
          <w:sz w:val="20"/>
        </w:rPr>
        <w:t xml:space="preserve">Pramen: </w:t>
      </w:r>
      <w:r w:rsidR="006F74BF">
        <w:rPr>
          <w:rFonts w:ascii="Calibri Light" w:hAnsi="Calibri Light" w:cs="Calibri Light"/>
          <w:color w:val="13576B"/>
          <w:sz w:val="20"/>
        </w:rPr>
        <w:t xml:space="preserve">ČNB, </w:t>
      </w:r>
      <w:r w:rsidRPr="002F4CBD">
        <w:rPr>
          <w:rFonts w:ascii="Calibri Light" w:hAnsi="Calibri Light" w:cs="Calibri Light"/>
          <w:color w:val="13576B"/>
          <w:sz w:val="20"/>
        </w:rPr>
        <w:t>ČBA Hypomonitor</w:t>
      </w:r>
    </w:p>
    <w:p w14:paraId="31FA0ABF" w14:textId="0D9D88DE" w:rsidR="005874B8" w:rsidRDefault="005874B8" w:rsidP="005874B8">
      <w:pPr>
        <w:rPr>
          <w:rFonts w:ascii="Calibri" w:hAnsi="Calibri" w:cs="Calibri"/>
          <w:sz w:val="22"/>
          <w:szCs w:val="22"/>
          <w:highlight w:val="yellow"/>
        </w:rPr>
      </w:pPr>
    </w:p>
    <w:p w14:paraId="58C30663" w14:textId="77777777" w:rsidR="000B064D" w:rsidRDefault="000B064D" w:rsidP="005874B8">
      <w:pPr>
        <w:rPr>
          <w:rFonts w:ascii="Calibri" w:hAnsi="Calibri" w:cs="Calibri"/>
          <w:sz w:val="22"/>
          <w:szCs w:val="22"/>
          <w:highlight w:val="yellow"/>
        </w:rPr>
      </w:pPr>
    </w:p>
    <w:p w14:paraId="3809B927" w14:textId="6BCFEB21" w:rsidR="000B064D" w:rsidRDefault="000B064D" w:rsidP="005874B8">
      <w:pPr>
        <w:rPr>
          <w:rFonts w:ascii="Calibri" w:hAnsi="Calibri" w:cs="Calibri"/>
          <w:sz w:val="22"/>
          <w:szCs w:val="22"/>
          <w:highlight w:val="yellow"/>
        </w:rPr>
      </w:pPr>
      <w:r w:rsidRPr="00A83BF6">
        <w:rPr>
          <w:rFonts w:ascii="Calibri" w:hAnsi="Calibri" w:cs="Calibri"/>
          <w:b/>
          <w:bCs/>
          <w:noProof/>
          <w:sz w:val="22"/>
          <w:szCs w:val="22"/>
          <w:highlight w:val="yellow"/>
        </w:rPr>
        <mc:AlternateContent>
          <mc:Choice Requires="wps">
            <w:drawing>
              <wp:anchor distT="0" distB="0" distL="114300" distR="114300" simplePos="0" relativeHeight="251686912" behindDoc="0" locked="0" layoutInCell="1" allowOverlap="1" wp14:anchorId="227C3A6A" wp14:editId="12D9BDDE">
                <wp:simplePos x="0" y="0"/>
                <wp:positionH relativeFrom="margin">
                  <wp:posOffset>0</wp:posOffset>
                </wp:positionH>
                <wp:positionV relativeFrom="paragraph">
                  <wp:posOffset>170815</wp:posOffset>
                </wp:positionV>
                <wp:extent cx="6519545" cy="793750"/>
                <wp:effectExtent l="0" t="0" r="14605" b="25400"/>
                <wp:wrapTopAndBottom/>
                <wp:docPr id="1486752394" name="Rectangle 1"/>
                <wp:cNvGraphicFramePr/>
                <a:graphic xmlns:a="http://schemas.openxmlformats.org/drawingml/2006/main">
                  <a:graphicData uri="http://schemas.microsoft.com/office/word/2010/wordprocessingShape">
                    <wps:wsp>
                      <wps:cNvSpPr/>
                      <wps:spPr>
                        <a:xfrm>
                          <a:off x="0" y="0"/>
                          <a:ext cx="6519545" cy="7937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770F60" w14:textId="68F128EB" w:rsidR="000B064D" w:rsidRPr="00287580" w:rsidRDefault="000B064D" w:rsidP="000B064D">
                            <w:pPr>
                              <w:rPr>
                                <w:b/>
                                <w:bCs/>
                              </w:rPr>
                            </w:pPr>
                            <w:r w:rsidRPr="008B62E9">
                              <w:rPr>
                                <w:rFonts w:ascii="Calibri" w:hAnsi="Calibri" w:cs="Calibri"/>
                                <w:i/>
                                <w:iCs/>
                                <w:color w:val="000000" w:themeColor="text1"/>
                                <w:sz w:val="22"/>
                                <w:szCs w:val="22"/>
                              </w:rPr>
                              <w:t xml:space="preserve"> „Ekonomické oživení a pokles úrokových sazeb podporují poptávku po hypotečních úvěrech a hypotečnímu trhu se tak daří. Velkou neznámou do budoucna je však nejistota přicházející do ekonomiky kvůli naprosto nečitelné celní politice USA, která má potenciál ovlivnit nastavení úrokových sazeb i u nás, a to oběma směry</w:t>
                            </w:r>
                            <w:r w:rsidR="00B43E68">
                              <w:rPr>
                                <w:rFonts w:ascii="Calibri" w:hAnsi="Calibri" w:cs="Calibri"/>
                                <w:i/>
                                <w:iCs/>
                                <w:color w:val="000000" w:themeColor="text1"/>
                                <w:sz w:val="22"/>
                                <w:szCs w:val="22"/>
                              </w:rPr>
                              <w:t>,</w:t>
                            </w:r>
                            <w:r w:rsidRPr="008B62E9">
                              <w:rPr>
                                <w:rFonts w:ascii="Calibri" w:hAnsi="Calibri" w:cs="Calibri"/>
                                <w:i/>
                                <w:iCs/>
                                <w:color w:val="000000" w:themeColor="text1"/>
                                <w:sz w:val="22"/>
                                <w:szCs w:val="22"/>
                              </w:rPr>
                              <w:t xml:space="preserve">“ </w:t>
                            </w:r>
                            <w:r w:rsidRPr="007F690B">
                              <w:rPr>
                                <w:rFonts w:ascii="Calibri" w:hAnsi="Calibri" w:cs="Calibri"/>
                                <w:sz w:val="22"/>
                                <w:szCs w:val="22"/>
                              </w:rPr>
                              <w:t xml:space="preserve">říká </w:t>
                            </w:r>
                            <w:r w:rsidRPr="008B62E9">
                              <w:rPr>
                                <w:rFonts w:ascii="Calibri" w:hAnsi="Calibri" w:cs="Calibri"/>
                                <w:b/>
                                <w:bCs/>
                                <w:sz w:val="22"/>
                                <w:szCs w:val="22"/>
                              </w:rPr>
                              <w:t>Petr Gapko, hlavní ekonom MONETA Money Bank</w:t>
                            </w:r>
                            <w:r w:rsidRPr="00631033">
                              <w:rPr>
                                <w:rFonts w:ascii="Calibri" w:eastAsia="Calibri" w:hAnsi="Calibri" w:cs="Calibri"/>
                                <w:b/>
                                <w:bCs/>
                                <w:sz w:val="22"/>
                                <w:szCs w:val="22"/>
                              </w:rPr>
                              <w:t>.</w:t>
                            </w:r>
                          </w:p>
                          <w:p w14:paraId="6B95C5BE" w14:textId="77777777" w:rsidR="000B064D" w:rsidRPr="00A72DB7" w:rsidRDefault="000B064D" w:rsidP="000B064D">
                            <w:pPr>
                              <w:rPr>
                                <w:rFonts w:ascii="Calibri" w:hAnsi="Calibri" w:cs="Calibri"/>
                                <w:b/>
                                <w:b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C3A6A" id="_x0000_s1027" style="position:absolute;left:0;text-align:left;margin-left:0;margin-top:13.45pt;width:513.35pt;height:6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" fillcolor="white [3201]" strokecolor="black [3213]" strokeweight=".5pt">
                <v:textbox>
                  <w:txbxContent>
                    <w:p w14:paraId="4D770F60" w14:textId="68F128EB" w:rsidR="000B064D" w:rsidRPr="00287580" w:rsidRDefault="000B064D" w:rsidP="000B064D">
                      <w:pPr>
                        <w:rPr>
                          <w:b/>
                          <w:bCs/>
                        </w:rPr>
                      </w:pPr>
                      <w:r w:rsidRPr="008B62E9">
                        <w:rPr>
                          <w:rFonts w:ascii="Calibri" w:hAnsi="Calibri" w:cs="Calibri"/>
                          <w:i/>
                          <w:iCs/>
                          <w:color w:val="000000" w:themeColor="text1"/>
                          <w:sz w:val="22"/>
                          <w:szCs w:val="22"/>
                        </w:rPr>
                        <w:t xml:space="preserve"> „Ekonomické oživení a pokles úrokových sazeb podporují poptávku po hypotečních úvěrech a hypotečnímu trhu se tak daří. Velkou neznámou do budoucna je však nejistota přicházející do ekonomiky kvůli naprosto nečitelné celní politice USA, která má potenciál ovlivnit nastavení úrokových sazeb i u nás, a to oběma směry</w:t>
                      </w:r>
                      <w:r w:rsidR="00B43E68">
                        <w:rPr>
                          <w:rFonts w:ascii="Calibri" w:hAnsi="Calibri" w:cs="Calibri"/>
                          <w:i/>
                          <w:iCs/>
                          <w:color w:val="000000" w:themeColor="text1"/>
                          <w:sz w:val="22"/>
                          <w:szCs w:val="22"/>
                        </w:rPr>
                        <w:t>,</w:t>
                      </w:r>
                      <w:r w:rsidRPr="008B62E9">
                        <w:rPr>
                          <w:rFonts w:ascii="Calibri" w:hAnsi="Calibri" w:cs="Calibri"/>
                          <w:i/>
                          <w:iCs/>
                          <w:color w:val="000000" w:themeColor="text1"/>
                          <w:sz w:val="22"/>
                          <w:szCs w:val="22"/>
                        </w:rPr>
                        <w:t xml:space="preserve">“ </w:t>
                      </w:r>
                      <w:r w:rsidRPr="007F690B">
                        <w:rPr>
                          <w:rFonts w:ascii="Calibri" w:hAnsi="Calibri" w:cs="Calibri"/>
                          <w:sz w:val="22"/>
                          <w:szCs w:val="22"/>
                        </w:rPr>
                        <w:t xml:space="preserve">říká </w:t>
                      </w:r>
                      <w:r w:rsidRPr="008B62E9">
                        <w:rPr>
                          <w:rFonts w:ascii="Calibri" w:hAnsi="Calibri" w:cs="Calibri"/>
                          <w:b/>
                          <w:bCs/>
                          <w:sz w:val="22"/>
                          <w:szCs w:val="22"/>
                        </w:rPr>
                        <w:t>Petr Gapko, hlavní ekonom MONETA Money Bank</w:t>
                      </w:r>
                      <w:r w:rsidRPr="00631033">
                        <w:rPr>
                          <w:rFonts w:ascii="Calibri" w:eastAsia="Calibri" w:hAnsi="Calibri" w:cs="Calibri"/>
                          <w:b/>
                          <w:bCs/>
                          <w:sz w:val="22"/>
                          <w:szCs w:val="22"/>
                        </w:rPr>
                        <w:t>.</w:t>
                      </w:r>
                    </w:p>
                    <w:p w14:paraId="6B95C5BE" w14:textId="77777777" w:rsidR="000B064D" w:rsidRPr="00A72DB7" w:rsidRDefault="000B064D" w:rsidP="000B064D">
                      <w:pPr>
                        <w:rPr>
                          <w:rFonts w:ascii="Calibri" w:hAnsi="Calibri" w:cs="Calibri"/>
                          <w:b/>
                          <w:bCs/>
                          <w:sz w:val="22"/>
                          <w:szCs w:val="22"/>
                        </w:rPr>
                      </w:pPr>
                    </w:p>
                  </w:txbxContent>
                </v:textbox>
                <w10:wrap type="topAndBottom" anchorx="margin"/>
              </v:rect>
            </w:pict>
          </mc:Fallback>
        </mc:AlternateContent>
      </w:r>
    </w:p>
    <w:p w14:paraId="7E20224A" w14:textId="77777777" w:rsidR="000B064D" w:rsidRDefault="000B064D" w:rsidP="005874B8">
      <w:pPr>
        <w:rPr>
          <w:rFonts w:ascii="Calibri" w:hAnsi="Calibri" w:cs="Calibri"/>
          <w:sz w:val="22"/>
          <w:szCs w:val="22"/>
          <w:highlight w:val="yellow"/>
        </w:rPr>
      </w:pPr>
    </w:p>
    <w:p w14:paraId="69AAF131" w14:textId="2DAA1E25" w:rsidR="003D749F" w:rsidRPr="00631033" w:rsidRDefault="003D749F" w:rsidP="005578C6">
      <w:pPr>
        <w:rPr>
          <w:rFonts w:ascii="Calibri" w:hAnsi="Calibri" w:cs="Calibri"/>
          <w:color w:val="000000" w:themeColor="text1"/>
          <w:sz w:val="22"/>
          <w:szCs w:val="22"/>
        </w:rPr>
      </w:pPr>
      <w:bookmarkStart w:id="4" w:name="_Hlk137652102"/>
      <w:r w:rsidRPr="00631033">
        <w:rPr>
          <w:rFonts w:ascii="Calibri" w:hAnsi="Calibri" w:cs="Calibri"/>
          <w:b/>
          <w:bCs/>
          <w:color w:val="000000" w:themeColor="text1"/>
          <w:sz w:val="22"/>
          <w:szCs w:val="22"/>
        </w:rPr>
        <w:t xml:space="preserve">Jestřábí postoj České národní banky a více inflační data dopomohla v březnu ke zvýšení </w:t>
      </w:r>
      <w:r w:rsidR="00F94C20" w:rsidRPr="00631033">
        <w:rPr>
          <w:rFonts w:ascii="Calibri" w:hAnsi="Calibri" w:cs="Calibri"/>
          <w:b/>
          <w:bCs/>
          <w:color w:val="000000" w:themeColor="text1"/>
          <w:sz w:val="22"/>
          <w:szCs w:val="22"/>
        </w:rPr>
        <w:t xml:space="preserve">delších </w:t>
      </w:r>
      <w:r w:rsidR="00747D5E" w:rsidRPr="00631033">
        <w:rPr>
          <w:rFonts w:ascii="Calibri" w:hAnsi="Calibri" w:cs="Calibri"/>
          <w:b/>
          <w:bCs/>
          <w:color w:val="000000" w:themeColor="text1"/>
          <w:sz w:val="22"/>
          <w:szCs w:val="22"/>
        </w:rPr>
        <w:t>tržních</w:t>
      </w:r>
      <w:r w:rsidRPr="00631033">
        <w:rPr>
          <w:rFonts w:ascii="Calibri" w:hAnsi="Calibri" w:cs="Calibri"/>
          <w:b/>
          <w:bCs/>
          <w:color w:val="000000" w:themeColor="text1"/>
          <w:sz w:val="22"/>
          <w:szCs w:val="22"/>
        </w:rPr>
        <w:t xml:space="preserve"> úrokových sazeb</w:t>
      </w:r>
      <w:r w:rsidR="00F94C20" w:rsidRPr="00631033">
        <w:rPr>
          <w:rStyle w:val="Znakapoznpodarou"/>
          <w:rFonts w:ascii="Calibri" w:hAnsi="Calibri" w:cs="Calibri"/>
          <w:i/>
          <w:iCs/>
          <w:color w:val="000000" w:themeColor="text1"/>
          <w:sz w:val="22"/>
          <w:szCs w:val="22"/>
        </w:rPr>
        <w:footnoteReference w:id="1"/>
      </w:r>
      <w:r w:rsidRPr="00631033">
        <w:rPr>
          <w:rFonts w:ascii="Calibri" w:hAnsi="Calibri" w:cs="Calibri"/>
          <w:b/>
          <w:bCs/>
          <w:color w:val="000000" w:themeColor="text1"/>
          <w:sz w:val="22"/>
          <w:szCs w:val="22"/>
        </w:rPr>
        <w:t xml:space="preserve">, lehce nad prosincovou úroveň. </w:t>
      </w:r>
      <w:r w:rsidRPr="00631033">
        <w:rPr>
          <w:rFonts w:ascii="Calibri" w:hAnsi="Calibri" w:cs="Calibri"/>
          <w:color w:val="000000" w:themeColor="text1"/>
          <w:sz w:val="22"/>
          <w:szCs w:val="22"/>
        </w:rPr>
        <w:t>Č</w:t>
      </w:r>
      <w:r w:rsidR="00D47CB0" w:rsidRPr="00631033">
        <w:rPr>
          <w:rFonts w:ascii="Calibri" w:hAnsi="Calibri" w:cs="Calibri"/>
          <w:color w:val="000000" w:themeColor="text1"/>
          <w:sz w:val="22"/>
          <w:szCs w:val="22"/>
        </w:rPr>
        <w:t xml:space="preserve">eská národní banka </w:t>
      </w:r>
      <w:r w:rsidR="008B62E9" w:rsidRPr="00631033">
        <w:rPr>
          <w:rFonts w:ascii="Calibri" w:hAnsi="Calibri" w:cs="Calibri"/>
          <w:color w:val="000000" w:themeColor="text1"/>
          <w:sz w:val="22"/>
          <w:szCs w:val="22"/>
        </w:rPr>
        <w:t>se v březnu</w:t>
      </w:r>
      <w:r w:rsidR="00D47CB0" w:rsidRPr="00631033">
        <w:rPr>
          <w:rFonts w:ascii="Calibri" w:hAnsi="Calibri" w:cs="Calibri"/>
          <w:color w:val="000000" w:themeColor="text1"/>
          <w:sz w:val="22"/>
          <w:szCs w:val="22"/>
        </w:rPr>
        <w:t xml:space="preserve"> </w:t>
      </w:r>
      <w:r w:rsidRPr="00631033">
        <w:rPr>
          <w:rFonts w:ascii="Calibri" w:hAnsi="Calibri" w:cs="Calibri"/>
          <w:color w:val="000000" w:themeColor="text1"/>
          <w:sz w:val="22"/>
          <w:szCs w:val="22"/>
        </w:rPr>
        <w:t>na</w:t>
      </w:r>
      <w:r w:rsidR="008B62E9" w:rsidRPr="00631033">
        <w:rPr>
          <w:rFonts w:ascii="Calibri" w:hAnsi="Calibri" w:cs="Calibri"/>
          <w:color w:val="000000" w:themeColor="text1"/>
          <w:sz w:val="22"/>
          <w:szCs w:val="22"/>
        </w:rPr>
        <w:t>vrátila k pauze v procesu snižování úrokové sazby po jejím únorovém snížení na</w:t>
      </w:r>
      <w:r w:rsidR="000F426C" w:rsidRPr="00631033">
        <w:rPr>
          <w:rFonts w:ascii="Calibri" w:hAnsi="Calibri" w:cs="Calibri"/>
          <w:color w:val="000000" w:themeColor="text1"/>
          <w:sz w:val="22"/>
          <w:szCs w:val="22"/>
        </w:rPr>
        <w:t xml:space="preserve"> 3,75 %</w:t>
      </w:r>
      <w:r w:rsidRPr="00631033">
        <w:rPr>
          <w:rFonts w:ascii="Calibri" w:hAnsi="Calibri" w:cs="Calibri"/>
          <w:color w:val="000000" w:themeColor="text1"/>
          <w:sz w:val="22"/>
          <w:szCs w:val="22"/>
        </w:rPr>
        <w:t xml:space="preserve">. Její rozhodnutí rovněž odráželo více proinflační ekonomická čísla v podobě jádrové inflace, zvláště ve službách, kde zůstává i svižné tempo mezd. To se </w:t>
      </w:r>
      <w:r w:rsidR="00F94C20" w:rsidRPr="00631033">
        <w:rPr>
          <w:rFonts w:ascii="Calibri" w:hAnsi="Calibri" w:cs="Calibri"/>
          <w:color w:val="000000" w:themeColor="text1"/>
          <w:sz w:val="22"/>
          <w:szCs w:val="22"/>
        </w:rPr>
        <w:t xml:space="preserve">v březnu </w:t>
      </w:r>
      <w:r w:rsidRPr="00631033">
        <w:rPr>
          <w:rFonts w:ascii="Calibri" w:hAnsi="Calibri" w:cs="Calibri"/>
          <w:color w:val="000000" w:themeColor="text1"/>
          <w:sz w:val="22"/>
          <w:szCs w:val="22"/>
        </w:rPr>
        <w:t xml:space="preserve">odrazilo k nárůstu tříletých a pětiletých úrokových swapů na 3,5 % a 3,6 %. </w:t>
      </w:r>
    </w:p>
    <w:p w14:paraId="769444A7" w14:textId="30580FCC" w:rsidR="008B62E9" w:rsidRPr="00631033" w:rsidRDefault="008B62E9" w:rsidP="005578C6">
      <w:pPr>
        <w:rPr>
          <w:rFonts w:ascii="Calibri" w:hAnsi="Calibri" w:cs="Calibri"/>
          <w:color w:val="FF0000"/>
          <w:sz w:val="22"/>
          <w:szCs w:val="22"/>
        </w:rPr>
      </w:pPr>
    </w:p>
    <w:p w14:paraId="5FA32BF6" w14:textId="4016DC95" w:rsidR="00F94C20" w:rsidRPr="00631033" w:rsidRDefault="003D749F" w:rsidP="005578C6">
      <w:pPr>
        <w:rPr>
          <w:rFonts w:ascii="Calibri" w:hAnsi="Calibri" w:cs="Calibri"/>
          <w:color w:val="000000" w:themeColor="text1"/>
          <w:sz w:val="22"/>
          <w:szCs w:val="22"/>
        </w:rPr>
      </w:pPr>
      <w:r w:rsidRPr="00631033">
        <w:rPr>
          <w:rFonts w:ascii="Calibri" w:hAnsi="Calibri" w:cs="Calibri"/>
          <w:b/>
          <w:bCs/>
          <w:color w:val="000000" w:themeColor="text1"/>
          <w:sz w:val="22"/>
          <w:szCs w:val="22"/>
        </w:rPr>
        <w:t xml:space="preserve">Nejistota spojená s celními válkami </w:t>
      </w:r>
      <w:r w:rsidR="00747D5E" w:rsidRPr="00631033">
        <w:rPr>
          <w:rFonts w:ascii="Calibri" w:hAnsi="Calibri" w:cs="Calibri"/>
          <w:b/>
          <w:bCs/>
          <w:color w:val="000000" w:themeColor="text1"/>
          <w:sz w:val="22"/>
          <w:szCs w:val="22"/>
        </w:rPr>
        <w:t>p</w:t>
      </w:r>
      <w:r w:rsidRPr="00631033">
        <w:rPr>
          <w:rFonts w:ascii="Calibri" w:hAnsi="Calibri" w:cs="Calibri"/>
          <w:b/>
          <w:bCs/>
          <w:color w:val="000000" w:themeColor="text1"/>
          <w:sz w:val="22"/>
          <w:szCs w:val="22"/>
        </w:rPr>
        <w:t>rezidenta Trumpa dopadá i na úrokové sazby, které v dubnu zažívají vysokou volatilitu</w:t>
      </w:r>
      <w:r w:rsidR="00F94C20" w:rsidRPr="00631033">
        <w:rPr>
          <w:rFonts w:ascii="Calibri" w:hAnsi="Calibri" w:cs="Calibri"/>
          <w:b/>
          <w:bCs/>
          <w:color w:val="000000" w:themeColor="text1"/>
          <w:sz w:val="22"/>
          <w:szCs w:val="22"/>
        </w:rPr>
        <w:t>, ale zatím se odráží v poklesu úrokových sazeb</w:t>
      </w:r>
      <w:r w:rsidRPr="00631033">
        <w:rPr>
          <w:rFonts w:ascii="Calibri" w:hAnsi="Calibri" w:cs="Calibri"/>
          <w:b/>
          <w:bCs/>
          <w:color w:val="000000" w:themeColor="text1"/>
          <w:sz w:val="22"/>
          <w:szCs w:val="22"/>
        </w:rPr>
        <w:t xml:space="preserve">. </w:t>
      </w:r>
      <w:r w:rsidR="00F94C20" w:rsidRPr="00631033">
        <w:rPr>
          <w:rFonts w:ascii="Calibri" w:hAnsi="Calibri" w:cs="Calibri"/>
          <w:color w:val="000000" w:themeColor="text1"/>
          <w:sz w:val="22"/>
          <w:szCs w:val="22"/>
        </w:rPr>
        <w:t xml:space="preserve">Zatímco </w:t>
      </w:r>
      <w:r w:rsidR="00747D5E" w:rsidRPr="00631033">
        <w:rPr>
          <w:rFonts w:ascii="Calibri" w:hAnsi="Calibri" w:cs="Calibri"/>
          <w:color w:val="000000" w:themeColor="text1"/>
          <w:sz w:val="22"/>
          <w:szCs w:val="22"/>
        </w:rPr>
        <w:t>p</w:t>
      </w:r>
      <w:r w:rsidR="00F94C20" w:rsidRPr="00631033">
        <w:rPr>
          <w:rFonts w:ascii="Calibri" w:hAnsi="Calibri" w:cs="Calibri"/>
          <w:color w:val="000000" w:themeColor="text1"/>
          <w:sz w:val="22"/>
          <w:szCs w:val="22"/>
        </w:rPr>
        <w:t>rezidentem Trumpem oznámená cla vedla k poklesu akciových trh</w:t>
      </w:r>
      <w:r w:rsidR="00747D5E" w:rsidRPr="00631033">
        <w:rPr>
          <w:rFonts w:ascii="Calibri" w:hAnsi="Calibri" w:cs="Calibri"/>
          <w:color w:val="000000" w:themeColor="text1"/>
          <w:sz w:val="22"/>
          <w:szCs w:val="22"/>
        </w:rPr>
        <w:t>ů</w:t>
      </w:r>
      <w:r w:rsidR="00F94C20" w:rsidRPr="00631033">
        <w:rPr>
          <w:rFonts w:ascii="Calibri" w:hAnsi="Calibri" w:cs="Calibri"/>
          <w:color w:val="000000" w:themeColor="text1"/>
          <w:sz w:val="22"/>
          <w:szCs w:val="22"/>
        </w:rPr>
        <w:t>, odrazila se i v poklesu úrokových sazeb. Například americké pětileté úrokové swapy spadly k 3,6 % poté</w:t>
      </w:r>
      <w:r w:rsidR="00747D5E" w:rsidRPr="00631033">
        <w:rPr>
          <w:rFonts w:ascii="Calibri" w:hAnsi="Calibri" w:cs="Calibri"/>
          <w:color w:val="000000" w:themeColor="text1"/>
          <w:sz w:val="22"/>
          <w:szCs w:val="22"/>
        </w:rPr>
        <w:t>,</w:t>
      </w:r>
      <w:r w:rsidR="00F94C20" w:rsidRPr="00631033">
        <w:rPr>
          <w:rFonts w:ascii="Calibri" w:hAnsi="Calibri" w:cs="Calibri"/>
          <w:color w:val="000000" w:themeColor="text1"/>
          <w:sz w:val="22"/>
          <w:szCs w:val="22"/>
        </w:rPr>
        <w:t xml:space="preserve"> co začátkem března spadly ke 4 % z úrovní okolo 4,35 % v prvních dvou měsících. Ovšem po odkladu recipročních cel na 90 dnů se tyto pětileté úrokové sazby vrátil</w:t>
      </w:r>
      <w:r w:rsidR="00747D5E" w:rsidRPr="00631033">
        <w:rPr>
          <w:rFonts w:ascii="Calibri" w:hAnsi="Calibri" w:cs="Calibri"/>
          <w:color w:val="000000" w:themeColor="text1"/>
          <w:sz w:val="22"/>
          <w:szCs w:val="22"/>
        </w:rPr>
        <w:t>y na</w:t>
      </w:r>
      <w:r w:rsidR="00F94C20" w:rsidRPr="00631033">
        <w:rPr>
          <w:rFonts w:ascii="Calibri" w:hAnsi="Calibri" w:cs="Calibri"/>
          <w:color w:val="000000" w:themeColor="text1"/>
          <w:sz w:val="22"/>
          <w:szCs w:val="22"/>
        </w:rPr>
        <w:t xml:space="preserve"> 3,9 %. Obdobně v Evropě jsme zažili výraznou volatilitu pětiletých swapů, které </w:t>
      </w:r>
      <w:r w:rsidR="00747D5E" w:rsidRPr="00631033">
        <w:rPr>
          <w:rFonts w:ascii="Calibri" w:hAnsi="Calibri" w:cs="Calibri"/>
          <w:color w:val="000000" w:themeColor="text1"/>
          <w:sz w:val="22"/>
          <w:szCs w:val="22"/>
        </w:rPr>
        <w:t xml:space="preserve">se </w:t>
      </w:r>
      <w:r w:rsidR="00F94C20" w:rsidRPr="00631033">
        <w:rPr>
          <w:rFonts w:ascii="Calibri" w:hAnsi="Calibri" w:cs="Calibri"/>
          <w:color w:val="000000" w:themeColor="text1"/>
          <w:sz w:val="22"/>
          <w:szCs w:val="22"/>
        </w:rPr>
        <w:t>ovšem navrátil</w:t>
      </w:r>
      <w:r w:rsidR="00747D5E" w:rsidRPr="00631033">
        <w:rPr>
          <w:rFonts w:ascii="Calibri" w:hAnsi="Calibri" w:cs="Calibri"/>
          <w:color w:val="000000" w:themeColor="text1"/>
          <w:sz w:val="22"/>
          <w:szCs w:val="22"/>
        </w:rPr>
        <w:t>y</w:t>
      </w:r>
      <w:r w:rsidR="00F94C20" w:rsidRPr="00631033">
        <w:rPr>
          <w:rFonts w:ascii="Calibri" w:hAnsi="Calibri" w:cs="Calibri"/>
          <w:color w:val="000000" w:themeColor="text1"/>
          <w:sz w:val="22"/>
          <w:szCs w:val="22"/>
        </w:rPr>
        <w:t xml:space="preserve"> níže pod 2,3 %. Evropské pětileté sazby se tak nyní pohybují okolo úrovně z podzimu 2024, což platí i</w:t>
      </w:r>
      <w:r w:rsidR="00747D5E" w:rsidRPr="00631033">
        <w:rPr>
          <w:rFonts w:ascii="Calibri" w:hAnsi="Calibri" w:cs="Calibri"/>
          <w:color w:val="000000" w:themeColor="text1"/>
          <w:sz w:val="22"/>
          <w:szCs w:val="22"/>
        </w:rPr>
        <w:t xml:space="preserve"> o</w:t>
      </w:r>
      <w:r w:rsidR="00F94C20" w:rsidRPr="00631033">
        <w:rPr>
          <w:rFonts w:ascii="Calibri" w:hAnsi="Calibri" w:cs="Calibri"/>
          <w:color w:val="000000" w:themeColor="text1"/>
          <w:sz w:val="22"/>
          <w:szCs w:val="22"/>
        </w:rPr>
        <w:t xml:space="preserve"> amerických sazbách. A to se zatím odráží i v českých úrokových swapech, které jsou prozatím v první dekádě dubna přibližně o 20bp níže než v březnu s pětiletou sazbou okolo 3,35 %. </w:t>
      </w:r>
    </w:p>
    <w:p w14:paraId="171149E0" w14:textId="77777777" w:rsidR="00622D80" w:rsidRPr="00631033" w:rsidRDefault="00622D80" w:rsidP="005578C6">
      <w:pPr>
        <w:rPr>
          <w:rFonts w:ascii="Calibri" w:hAnsi="Calibri" w:cs="Calibri"/>
          <w:color w:val="000000" w:themeColor="text1"/>
          <w:sz w:val="22"/>
          <w:szCs w:val="22"/>
        </w:rPr>
      </w:pPr>
    </w:p>
    <w:p w14:paraId="2F26E665" w14:textId="5A9D6368" w:rsidR="00622D80" w:rsidRPr="00631033" w:rsidRDefault="00622D80" w:rsidP="005578C6">
      <w:pPr>
        <w:rPr>
          <w:rFonts w:ascii="Calibri" w:hAnsi="Calibri" w:cs="Calibri"/>
          <w:color w:val="FF0000"/>
          <w:sz w:val="22"/>
          <w:szCs w:val="22"/>
        </w:rPr>
      </w:pPr>
      <w:r w:rsidRPr="00631033">
        <w:rPr>
          <w:rFonts w:ascii="Calibri" w:hAnsi="Calibri" w:cs="Calibri"/>
          <w:b/>
          <w:bCs/>
          <w:color w:val="000000" w:themeColor="text1"/>
          <w:sz w:val="22"/>
          <w:szCs w:val="22"/>
        </w:rPr>
        <w:t>Úroková hypoteční sazba na nové hypotéky v březnu dle Hypomonitoru spadla na 4,68 %. Nacházela se tak přibližně 1,2% bodu na</w:t>
      </w:r>
      <w:r w:rsidR="001422C8">
        <w:rPr>
          <w:rFonts w:ascii="Calibri" w:hAnsi="Calibri" w:cs="Calibri"/>
          <w:b/>
          <w:bCs/>
          <w:color w:val="000000" w:themeColor="text1"/>
          <w:sz w:val="22"/>
          <w:szCs w:val="22"/>
        </w:rPr>
        <w:t>d</w:t>
      </w:r>
      <w:r w:rsidRPr="00631033">
        <w:rPr>
          <w:rFonts w:ascii="Calibri" w:hAnsi="Calibri" w:cs="Calibri"/>
          <w:b/>
          <w:bCs/>
          <w:color w:val="000000" w:themeColor="text1"/>
          <w:sz w:val="22"/>
          <w:szCs w:val="22"/>
        </w:rPr>
        <w:t xml:space="preserve"> průměrnými tržními swapovými sazbami, což je přibližně o 0,1% bodu nad dlouhodobým průměrem od roku 2014</w:t>
      </w:r>
      <w:r w:rsidRPr="00631033">
        <w:rPr>
          <w:rFonts w:ascii="Calibri" w:hAnsi="Calibri" w:cs="Calibri"/>
          <w:color w:val="000000" w:themeColor="text1"/>
          <w:sz w:val="22"/>
          <w:szCs w:val="22"/>
        </w:rPr>
        <w:t xml:space="preserve">. Pokud pokles tržních úrokových sazeb zůstane na trhu po delší období, pak otevírá prostor ke snížení hypotečních sazeb v průběhu roku 2025 na hodnoty pod 4,3 %. Rozsah tohoto snížení bude záviset na dopadech Trumpových cel do ekonomiky, tedy zda dokážou přebít současné pokračující inflační pnutí. </w:t>
      </w:r>
    </w:p>
    <w:p w14:paraId="29F6F7BE" w14:textId="563CA3E1" w:rsidR="000B064D" w:rsidRPr="00F94C20" w:rsidRDefault="00622D80" w:rsidP="000B064D">
      <w:pPr>
        <w:rPr>
          <w:rFonts w:ascii="Calibri" w:hAnsi="Calibri" w:cs="Calibri"/>
          <w:color w:val="FF0000"/>
          <w:sz w:val="22"/>
          <w:szCs w:val="22"/>
        </w:rPr>
      </w:pPr>
      <w:r w:rsidRPr="00B93031">
        <w:rPr>
          <w:rFonts w:ascii="Calibri" w:hAnsi="Calibri" w:cs="Calibri"/>
          <w:noProof/>
          <w:sz w:val="22"/>
          <w:szCs w:val="22"/>
          <w:highlight w:val="yellow"/>
        </w:rPr>
        <mc:AlternateContent>
          <mc:Choice Requires="wps">
            <w:drawing>
              <wp:anchor distT="0" distB="0" distL="114300" distR="114300" simplePos="0" relativeHeight="251678720" behindDoc="0" locked="0" layoutInCell="1" allowOverlap="1" wp14:anchorId="4A3D2F1B" wp14:editId="2A0E7414">
                <wp:simplePos x="0" y="0"/>
                <wp:positionH relativeFrom="margin">
                  <wp:align>left</wp:align>
                </wp:positionH>
                <wp:positionV relativeFrom="paragraph">
                  <wp:posOffset>290830</wp:posOffset>
                </wp:positionV>
                <wp:extent cx="6519545" cy="1019175"/>
                <wp:effectExtent l="0" t="0" r="14605" b="28575"/>
                <wp:wrapTopAndBottom/>
                <wp:docPr id="870128156" name="Rectangle 1"/>
                <wp:cNvGraphicFramePr/>
                <a:graphic xmlns:a="http://schemas.openxmlformats.org/drawingml/2006/main">
                  <a:graphicData uri="http://schemas.microsoft.com/office/word/2010/wordprocessingShape">
                    <wps:wsp>
                      <wps:cNvSpPr/>
                      <wps:spPr>
                        <a:xfrm>
                          <a:off x="0" y="0"/>
                          <a:ext cx="6519545" cy="10191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DFF558" w14:textId="6B4CA099" w:rsidR="009A044E" w:rsidRPr="00143BF5" w:rsidRDefault="009A044E" w:rsidP="009A044E">
                            <w:pPr>
                              <w:rPr>
                                <w:b/>
                                <w:bCs/>
                              </w:rPr>
                            </w:pPr>
                            <w:r w:rsidRPr="00622D80">
                              <w:rPr>
                                <w:rFonts w:ascii="Calibri" w:eastAsia="Calibri" w:hAnsi="Calibri" w:cs="Calibri"/>
                                <w:i/>
                                <w:iCs/>
                                <w:color w:val="000000" w:themeColor="text1"/>
                                <w:sz w:val="22"/>
                                <w:szCs w:val="22"/>
                              </w:rPr>
                              <w:t>„</w:t>
                            </w:r>
                            <w:r w:rsidR="00622D80" w:rsidRPr="00622D80">
                              <w:rPr>
                                <w:rFonts w:ascii="Calibri" w:eastAsia="Calibri" w:hAnsi="Calibri" w:cs="Calibri"/>
                                <w:i/>
                                <w:iCs/>
                                <w:color w:val="000000" w:themeColor="text1"/>
                                <w:sz w:val="22"/>
                                <w:szCs w:val="22"/>
                              </w:rPr>
                              <w:t>Americká cla s</w:t>
                            </w:r>
                            <w:r w:rsidR="00747D5E">
                              <w:rPr>
                                <w:rFonts w:ascii="Calibri" w:eastAsia="Calibri" w:hAnsi="Calibri" w:cs="Calibri"/>
                                <w:i/>
                                <w:iCs/>
                                <w:color w:val="000000" w:themeColor="text1"/>
                                <w:sz w:val="22"/>
                                <w:szCs w:val="22"/>
                              </w:rPr>
                              <w:t>i</w:t>
                            </w:r>
                            <w:r w:rsidR="00622D80" w:rsidRPr="00622D80">
                              <w:rPr>
                                <w:rFonts w:ascii="Calibri" w:eastAsia="Calibri" w:hAnsi="Calibri" w:cs="Calibri"/>
                                <w:i/>
                                <w:iCs/>
                                <w:color w:val="000000" w:themeColor="text1"/>
                                <w:sz w:val="22"/>
                                <w:szCs w:val="22"/>
                              </w:rPr>
                              <w:t xml:space="preserve"> trhy vykládají jako disinflační faktor, a to napříč USA, Evropou a tedy i v případě české ekonomiky. Uvidíme, jak rychle a zda se se tržní očekávání přelije do rozhodnutí České národní banky, která asi v nejbližším období zůstane ostražitá kvůli pokračujícím inflačním tlakům ze sektoru služeb</w:t>
                            </w:r>
                            <w:r w:rsidR="00B93031">
                              <w:rPr>
                                <w:rFonts w:ascii="Calibri" w:eastAsia="Calibri" w:hAnsi="Calibri" w:cs="Calibri"/>
                                <w:i/>
                                <w:iCs/>
                                <w:color w:val="000000" w:themeColor="text1"/>
                                <w:sz w:val="22"/>
                                <w:szCs w:val="22"/>
                              </w:rPr>
                              <w:t xml:space="preserve">. Pokud ano, mohlo by to otevřít cestu k poklesu hypotečních sazeb </w:t>
                            </w:r>
                            <w:r w:rsidR="00E40350" w:rsidRPr="00631033">
                              <w:rPr>
                                <w:rFonts w:ascii="Calibri" w:eastAsia="Calibri" w:hAnsi="Calibri" w:cs="Calibri"/>
                                <w:i/>
                                <w:iCs/>
                                <w:color w:val="000000" w:themeColor="text1"/>
                                <w:sz w:val="22"/>
                                <w:szCs w:val="22"/>
                              </w:rPr>
                              <w:t>k</w:t>
                            </w:r>
                            <w:r w:rsidR="00B93031">
                              <w:rPr>
                                <w:rFonts w:ascii="Calibri" w:eastAsia="Calibri" w:hAnsi="Calibri" w:cs="Calibri"/>
                                <w:i/>
                                <w:iCs/>
                                <w:color w:val="000000" w:themeColor="text1"/>
                                <w:sz w:val="22"/>
                                <w:szCs w:val="22"/>
                              </w:rPr>
                              <w:t xml:space="preserve"> 4,25 % v průběhu druhé poloviny letošního roku</w:t>
                            </w:r>
                            <w:r w:rsidR="00AF1091" w:rsidRPr="00622D80">
                              <w:rPr>
                                <w:rFonts w:ascii="Calibri" w:eastAsia="Calibri" w:hAnsi="Calibri" w:cs="Calibri"/>
                                <w:i/>
                                <w:iCs/>
                                <w:color w:val="000000" w:themeColor="text1"/>
                                <w:sz w:val="22"/>
                                <w:szCs w:val="22"/>
                              </w:rPr>
                              <w:t>,</w:t>
                            </w:r>
                            <w:r w:rsidRPr="00622D80">
                              <w:rPr>
                                <w:rFonts w:ascii="Calibri" w:eastAsia="Calibri" w:hAnsi="Calibri" w:cs="Calibri"/>
                                <w:i/>
                                <w:iCs/>
                                <w:color w:val="000000" w:themeColor="text1"/>
                                <w:sz w:val="22"/>
                                <w:szCs w:val="22"/>
                              </w:rPr>
                              <w:t xml:space="preserve">“ </w:t>
                            </w:r>
                            <w:r w:rsidR="00641532">
                              <w:rPr>
                                <w:rFonts w:ascii="Calibri" w:eastAsia="Calibri" w:hAnsi="Calibri" w:cs="Calibri"/>
                                <w:b/>
                                <w:bCs/>
                                <w:sz w:val="22"/>
                                <w:szCs w:val="22"/>
                              </w:rPr>
                              <w:t>přidává</w:t>
                            </w:r>
                            <w:r w:rsidRPr="00A02F5D">
                              <w:rPr>
                                <w:rFonts w:ascii="Calibri" w:eastAsia="Calibri" w:hAnsi="Calibri" w:cs="Calibri"/>
                                <w:b/>
                                <w:bCs/>
                                <w:sz w:val="22"/>
                                <w:szCs w:val="22"/>
                              </w:rPr>
                              <w:t xml:space="preserve"> </w:t>
                            </w:r>
                            <w:r w:rsidR="002138C0" w:rsidRPr="00A02F5D">
                              <w:rPr>
                                <w:rFonts w:ascii="Calibri" w:eastAsia="Calibri" w:hAnsi="Calibri" w:cs="Calibri"/>
                                <w:b/>
                                <w:bCs/>
                                <w:sz w:val="22"/>
                                <w:szCs w:val="22"/>
                              </w:rPr>
                              <w:t>Jaromír Šindel</w:t>
                            </w:r>
                            <w:r w:rsidR="00CD2107" w:rsidRPr="00A02F5D">
                              <w:rPr>
                                <w:rFonts w:ascii="Calibri" w:eastAsia="Calibri" w:hAnsi="Calibri" w:cs="Calibri"/>
                                <w:b/>
                                <w:bCs/>
                                <w:sz w:val="22"/>
                                <w:szCs w:val="22"/>
                              </w:rPr>
                              <w:t xml:space="preserve">, </w:t>
                            </w:r>
                            <w:r w:rsidR="00287580" w:rsidRPr="00A02F5D">
                              <w:rPr>
                                <w:rFonts w:ascii="Calibri" w:eastAsia="Calibri" w:hAnsi="Calibri" w:cs="Calibri"/>
                                <w:b/>
                                <w:bCs/>
                                <w:sz w:val="22"/>
                                <w:szCs w:val="22"/>
                              </w:rPr>
                              <w:t>hlavní ekonom České bankovní asociace.</w:t>
                            </w:r>
                          </w:p>
                          <w:p w14:paraId="6D0F8AD9" w14:textId="5F4A565C" w:rsidR="000E087A" w:rsidRPr="00143BF5" w:rsidRDefault="000E087A" w:rsidP="000E087A">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3D2F1B" id="_x0000_s1028" style="position:absolute;left:0;text-align:left;margin-left:0;margin-top:22.9pt;width:513.35pt;height:80.2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" fillcolor="white [3201]" strokecolor="black [3213]" strokeweight=".5pt">
                <v:textbox>
                  <w:txbxContent>
                    <w:p w14:paraId="41DFF558" w14:textId="6B4CA099" w:rsidR="009A044E" w:rsidRPr="00143BF5" w:rsidRDefault="009A044E" w:rsidP="009A044E">
                      <w:pPr>
                        <w:rPr>
                          <w:b/>
                          <w:bCs/>
                        </w:rPr>
                      </w:pPr>
                      <w:r w:rsidRPr="00622D80">
                        <w:rPr>
                          <w:rFonts w:ascii="Calibri" w:eastAsia="Calibri" w:hAnsi="Calibri" w:cs="Calibri"/>
                          <w:i/>
                          <w:iCs/>
                          <w:color w:val="000000" w:themeColor="text1"/>
                          <w:sz w:val="22"/>
                          <w:szCs w:val="22"/>
                        </w:rPr>
                        <w:t>„</w:t>
                      </w:r>
                      <w:r w:rsidR="00622D80" w:rsidRPr="00622D80">
                        <w:rPr>
                          <w:rFonts w:ascii="Calibri" w:eastAsia="Calibri" w:hAnsi="Calibri" w:cs="Calibri"/>
                          <w:i/>
                          <w:iCs/>
                          <w:color w:val="000000" w:themeColor="text1"/>
                          <w:sz w:val="22"/>
                          <w:szCs w:val="22"/>
                        </w:rPr>
                        <w:t>Americká cla s</w:t>
                      </w:r>
                      <w:r w:rsidR="00747D5E">
                        <w:rPr>
                          <w:rFonts w:ascii="Calibri" w:eastAsia="Calibri" w:hAnsi="Calibri" w:cs="Calibri"/>
                          <w:i/>
                          <w:iCs/>
                          <w:color w:val="000000" w:themeColor="text1"/>
                          <w:sz w:val="22"/>
                          <w:szCs w:val="22"/>
                        </w:rPr>
                        <w:t>i</w:t>
                      </w:r>
                      <w:r w:rsidR="00622D80" w:rsidRPr="00622D80">
                        <w:rPr>
                          <w:rFonts w:ascii="Calibri" w:eastAsia="Calibri" w:hAnsi="Calibri" w:cs="Calibri"/>
                          <w:i/>
                          <w:iCs/>
                          <w:color w:val="000000" w:themeColor="text1"/>
                          <w:sz w:val="22"/>
                          <w:szCs w:val="22"/>
                        </w:rPr>
                        <w:t xml:space="preserve"> trhy vykládají jako disinflační faktor, a to napříč USA, Evropou a tedy i v případě české ekonomiky. Uvidíme, jak rychle a zda se se tržní očekávání přelije do rozhodnutí České národní banky, která asi v nejbližším období zůstane ostražitá kvůli pokračujícím inflačním tlakům ze sektoru služeb</w:t>
                      </w:r>
                      <w:r w:rsidR="00B93031">
                        <w:rPr>
                          <w:rFonts w:ascii="Calibri" w:eastAsia="Calibri" w:hAnsi="Calibri" w:cs="Calibri"/>
                          <w:i/>
                          <w:iCs/>
                          <w:color w:val="000000" w:themeColor="text1"/>
                          <w:sz w:val="22"/>
                          <w:szCs w:val="22"/>
                        </w:rPr>
                        <w:t xml:space="preserve">. Pokud ano, mohlo by to otevřít cestu k poklesu hypotečních sazeb </w:t>
                      </w:r>
                      <w:r w:rsidR="00E40350" w:rsidRPr="00631033">
                        <w:rPr>
                          <w:rFonts w:ascii="Calibri" w:eastAsia="Calibri" w:hAnsi="Calibri" w:cs="Calibri"/>
                          <w:i/>
                          <w:iCs/>
                          <w:color w:val="000000" w:themeColor="text1"/>
                          <w:sz w:val="22"/>
                          <w:szCs w:val="22"/>
                        </w:rPr>
                        <w:t>k</w:t>
                      </w:r>
                      <w:r w:rsidR="00B93031">
                        <w:rPr>
                          <w:rFonts w:ascii="Calibri" w:eastAsia="Calibri" w:hAnsi="Calibri" w:cs="Calibri"/>
                          <w:i/>
                          <w:iCs/>
                          <w:color w:val="000000" w:themeColor="text1"/>
                          <w:sz w:val="22"/>
                          <w:szCs w:val="22"/>
                        </w:rPr>
                        <w:t xml:space="preserve"> 4,25 % v průběhu druhé poloviny letošního roku</w:t>
                      </w:r>
                      <w:r w:rsidR="00AF1091" w:rsidRPr="00622D80">
                        <w:rPr>
                          <w:rFonts w:ascii="Calibri" w:eastAsia="Calibri" w:hAnsi="Calibri" w:cs="Calibri"/>
                          <w:i/>
                          <w:iCs/>
                          <w:color w:val="000000" w:themeColor="text1"/>
                          <w:sz w:val="22"/>
                          <w:szCs w:val="22"/>
                        </w:rPr>
                        <w:t>,</w:t>
                      </w:r>
                      <w:r w:rsidRPr="00622D80">
                        <w:rPr>
                          <w:rFonts w:ascii="Calibri" w:eastAsia="Calibri" w:hAnsi="Calibri" w:cs="Calibri"/>
                          <w:i/>
                          <w:iCs/>
                          <w:color w:val="000000" w:themeColor="text1"/>
                          <w:sz w:val="22"/>
                          <w:szCs w:val="22"/>
                        </w:rPr>
                        <w:t xml:space="preserve">“ </w:t>
                      </w:r>
                      <w:r w:rsidR="00641532">
                        <w:rPr>
                          <w:rFonts w:ascii="Calibri" w:eastAsia="Calibri" w:hAnsi="Calibri" w:cs="Calibri"/>
                          <w:b/>
                          <w:bCs/>
                          <w:sz w:val="22"/>
                          <w:szCs w:val="22"/>
                        </w:rPr>
                        <w:t>přidává</w:t>
                      </w:r>
                      <w:r w:rsidRPr="00A02F5D">
                        <w:rPr>
                          <w:rFonts w:ascii="Calibri" w:eastAsia="Calibri" w:hAnsi="Calibri" w:cs="Calibri"/>
                          <w:b/>
                          <w:bCs/>
                          <w:sz w:val="22"/>
                          <w:szCs w:val="22"/>
                        </w:rPr>
                        <w:t xml:space="preserve"> </w:t>
                      </w:r>
                      <w:r w:rsidR="002138C0" w:rsidRPr="00A02F5D">
                        <w:rPr>
                          <w:rFonts w:ascii="Calibri" w:eastAsia="Calibri" w:hAnsi="Calibri" w:cs="Calibri"/>
                          <w:b/>
                          <w:bCs/>
                          <w:sz w:val="22"/>
                          <w:szCs w:val="22"/>
                        </w:rPr>
                        <w:t>Jaromír Šindel</w:t>
                      </w:r>
                      <w:r w:rsidR="00CD2107" w:rsidRPr="00A02F5D">
                        <w:rPr>
                          <w:rFonts w:ascii="Calibri" w:eastAsia="Calibri" w:hAnsi="Calibri" w:cs="Calibri"/>
                          <w:b/>
                          <w:bCs/>
                          <w:sz w:val="22"/>
                          <w:szCs w:val="22"/>
                        </w:rPr>
                        <w:t xml:space="preserve">, </w:t>
                      </w:r>
                      <w:r w:rsidR="00287580" w:rsidRPr="00A02F5D">
                        <w:rPr>
                          <w:rFonts w:ascii="Calibri" w:eastAsia="Calibri" w:hAnsi="Calibri" w:cs="Calibri"/>
                          <w:b/>
                          <w:bCs/>
                          <w:sz w:val="22"/>
                          <w:szCs w:val="22"/>
                        </w:rPr>
                        <w:t>hlavní ekonom České bankovní asociace.</w:t>
                      </w:r>
                    </w:p>
                    <w:p w14:paraId="6D0F8AD9" w14:textId="5F4A565C" w:rsidR="000E087A" w:rsidRPr="00143BF5" w:rsidRDefault="000E087A" w:rsidP="000E087A">
                      <w:pPr>
                        <w:rPr>
                          <w:b/>
                          <w:bCs/>
                        </w:rPr>
                      </w:pPr>
                    </w:p>
                  </w:txbxContent>
                </v:textbox>
                <w10:wrap type="topAndBottom" anchorx="margin"/>
              </v:rect>
            </w:pict>
          </mc:Fallback>
        </mc:AlternateContent>
      </w:r>
    </w:p>
    <w:p w14:paraId="4C111FFA" w14:textId="1D2CAEDA" w:rsidR="00A9017B" w:rsidRPr="00A02F5D" w:rsidRDefault="00A9017B" w:rsidP="00B04FE2">
      <w:pPr>
        <w:rPr>
          <w:rFonts w:ascii="Calibri" w:hAnsi="Calibri" w:cs="Calibri"/>
          <w:b/>
          <w:color w:val="13576B"/>
          <w:sz w:val="24"/>
          <w:szCs w:val="24"/>
        </w:rPr>
      </w:pPr>
      <w:bookmarkStart w:id="5" w:name="_Hlk100672905"/>
      <w:bookmarkEnd w:id="4"/>
    </w:p>
    <w:p w14:paraId="72E83631" w14:textId="30452979" w:rsidR="00B04FE2" w:rsidRPr="00A02F5D" w:rsidRDefault="00E4296A" w:rsidP="00B04FE2">
      <w:pPr>
        <w:rPr>
          <w:rFonts w:ascii="Calibri" w:hAnsi="Calibri" w:cs="Calibri"/>
          <w:b/>
          <w:color w:val="13576B"/>
          <w:sz w:val="24"/>
          <w:szCs w:val="24"/>
        </w:rPr>
      </w:pPr>
      <w:r w:rsidRPr="00A02F5D">
        <w:rPr>
          <w:rFonts w:ascii="Calibri" w:hAnsi="Calibri" w:cs="Calibri"/>
          <w:b/>
          <w:color w:val="13576B"/>
          <w:sz w:val="24"/>
          <w:szCs w:val="24"/>
        </w:rPr>
        <w:t xml:space="preserve">Průměrná velikost </w:t>
      </w:r>
      <w:r w:rsidR="00D73AAF" w:rsidRPr="00A02F5D">
        <w:rPr>
          <w:rFonts w:ascii="Calibri" w:hAnsi="Calibri" w:cs="Calibri"/>
          <w:b/>
          <w:color w:val="13576B"/>
          <w:sz w:val="24"/>
          <w:szCs w:val="24"/>
        </w:rPr>
        <w:t xml:space="preserve">hypotéky </w:t>
      </w:r>
      <w:r w:rsidR="00AF2306">
        <w:rPr>
          <w:rFonts w:ascii="Calibri" w:hAnsi="Calibri" w:cs="Calibri"/>
          <w:b/>
          <w:color w:val="13576B"/>
          <w:sz w:val="24"/>
          <w:szCs w:val="24"/>
        </w:rPr>
        <w:t>v led</w:t>
      </w:r>
      <w:r w:rsidR="001E4370">
        <w:rPr>
          <w:rFonts w:ascii="Calibri" w:hAnsi="Calibri" w:cs="Calibri"/>
          <w:b/>
          <w:color w:val="13576B"/>
          <w:sz w:val="24"/>
          <w:szCs w:val="24"/>
        </w:rPr>
        <w:t>n</w:t>
      </w:r>
      <w:r w:rsidR="00AF2306">
        <w:rPr>
          <w:rFonts w:ascii="Calibri" w:hAnsi="Calibri" w:cs="Calibri"/>
          <w:b/>
          <w:color w:val="13576B"/>
          <w:sz w:val="24"/>
          <w:szCs w:val="24"/>
        </w:rPr>
        <w:t>u dále stoupl</w:t>
      </w:r>
      <w:r w:rsidR="001E4370">
        <w:rPr>
          <w:rFonts w:ascii="Calibri" w:hAnsi="Calibri" w:cs="Calibri"/>
          <w:b/>
          <w:color w:val="13576B"/>
          <w:sz w:val="24"/>
          <w:szCs w:val="24"/>
        </w:rPr>
        <w:t>a</w:t>
      </w:r>
      <w:r w:rsidR="00AF2306">
        <w:rPr>
          <w:rFonts w:ascii="Calibri" w:hAnsi="Calibri" w:cs="Calibri"/>
          <w:b/>
          <w:color w:val="13576B"/>
          <w:sz w:val="24"/>
          <w:szCs w:val="24"/>
        </w:rPr>
        <w:t xml:space="preserve"> kvůli </w:t>
      </w:r>
      <w:r w:rsidR="001E4370">
        <w:rPr>
          <w:rFonts w:ascii="Calibri" w:hAnsi="Calibri" w:cs="Calibri"/>
          <w:b/>
          <w:color w:val="13576B"/>
          <w:sz w:val="24"/>
          <w:szCs w:val="24"/>
        </w:rPr>
        <w:t xml:space="preserve">úvěrům </w:t>
      </w:r>
      <w:r w:rsidR="00AF2306">
        <w:rPr>
          <w:rFonts w:ascii="Calibri" w:hAnsi="Calibri" w:cs="Calibri"/>
          <w:b/>
          <w:color w:val="13576B"/>
          <w:sz w:val="24"/>
          <w:szCs w:val="24"/>
        </w:rPr>
        <w:t>na výstavbu</w:t>
      </w:r>
    </w:p>
    <w:p w14:paraId="28ED20F8" w14:textId="7EED3CD7" w:rsidR="00B31E3C" w:rsidRPr="00A02F5D" w:rsidRDefault="00B31E3C" w:rsidP="00B04FE2">
      <w:pPr>
        <w:rPr>
          <w:rFonts w:ascii="Calibri" w:hAnsi="Calibri" w:cs="Calibri"/>
          <w:b/>
          <w:color w:val="13576B"/>
          <w:sz w:val="24"/>
          <w:szCs w:val="24"/>
        </w:rPr>
      </w:pPr>
    </w:p>
    <w:p w14:paraId="5834E9B0" w14:textId="744D419F" w:rsidR="0033440C" w:rsidRPr="0033440C" w:rsidRDefault="0033440C" w:rsidP="0033440C">
      <w:pPr>
        <w:overflowPunct/>
        <w:autoSpaceDE/>
        <w:autoSpaceDN/>
        <w:adjustRightInd/>
        <w:textAlignment w:val="auto"/>
        <w:rPr>
          <w:rFonts w:ascii="Calibri" w:hAnsi="Calibri" w:cs="Calibri"/>
          <w:color w:val="000000"/>
          <w:sz w:val="22"/>
          <w:szCs w:val="22"/>
        </w:rPr>
      </w:pPr>
      <w:r w:rsidRPr="0033440C">
        <w:rPr>
          <w:rFonts w:ascii="Calibri" w:hAnsi="Calibri" w:cs="Calibri"/>
          <w:b/>
          <w:bCs/>
          <w:color w:val="000000"/>
          <w:sz w:val="22"/>
          <w:szCs w:val="22"/>
        </w:rPr>
        <w:t xml:space="preserve">Průměrná velikost skutečně nově poskytnuté hypotéky v březnu mírně stoupla na 4,07 mil. Kč, tedy o téměř 2 % meziměsíčně. Její velikost je tak o 19 % vyšší než 3,43 mil. Kč před rokem. </w:t>
      </w:r>
      <w:r w:rsidRPr="0033440C">
        <w:rPr>
          <w:rFonts w:ascii="Calibri" w:hAnsi="Calibri" w:cs="Calibri"/>
          <w:color w:val="000000"/>
          <w:sz w:val="22"/>
          <w:szCs w:val="22"/>
        </w:rPr>
        <w:t xml:space="preserve">To odráží kombinaci vyšších cen nemovitostí, růstu mezd a nižších úrokových sazeb. Odhlédneme-li od mimořádné hodnoty téměř 4 mil. Kč v srpnu 2024 (vliv nové legislativy), tak průměrná hodnota od dubna postupně roste a o 18 % převyšuje předcházející </w:t>
      </w:r>
      <w:r w:rsidRPr="0033440C">
        <w:rPr>
          <w:rFonts w:ascii="Calibri" w:hAnsi="Calibri" w:cs="Calibri"/>
          <w:color w:val="000000"/>
          <w:sz w:val="22"/>
          <w:szCs w:val="22"/>
        </w:rPr>
        <w:lastRenderedPageBreak/>
        <w:t>rekordní úroveň z listopadu 2021 ve výši 3,46 mil. Kč. Dosáhnout na vyšší hypotéku umožňuje postupný pokles hypotečních sazeb či pokračující uvolnění makroobezřetnostních příjmových limitů ze strany ČNB společně s postupným růstem reálných příjmů domácností. Výše hypotéky pak souvisí také s vývojem cen nemovitostí, které v loňskem roce vyrostly o více než 10</w:t>
      </w:r>
      <w:r w:rsidR="0080372E">
        <w:rPr>
          <w:rFonts w:ascii="Calibri" w:hAnsi="Calibri" w:cs="Calibri"/>
          <w:color w:val="000000"/>
          <w:sz w:val="22"/>
          <w:szCs w:val="22"/>
        </w:rPr>
        <w:t xml:space="preserve"> </w:t>
      </w:r>
      <w:r w:rsidRPr="0033440C">
        <w:rPr>
          <w:rFonts w:ascii="Calibri" w:hAnsi="Calibri" w:cs="Calibri"/>
          <w:color w:val="000000"/>
          <w:sz w:val="22"/>
          <w:szCs w:val="22"/>
        </w:rPr>
        <w:t>% meziročně</w:t>
      </w:r>
      <w:r>
        <w:rPr>
          <w:rFonts w:ascii="Calibri" w:hAnsi="Calibri" w:cs="Calibri"/>
          <w:color w:val="000000"/>
          <w:sz w:val="22"/>
          <w:szCs w:val="22"/>
        </w:rPr>
        <w:t xml:space="preserve"> (viz </w:t>
      </w:r>
      <w:hyperlink r:id="rId12" w:history="1">
        <w:r w:rsidRPr="0033440C">
          <w:rPr>
            <w:rStyle w:val="Hypertextovodkaz"/>
            <w:rFonts w:ascii="Calibri" w:hAnsi="Calibri" w:cs="Calibri"/>
            <w:sz w:val="22"/>
            <w:szCs w:val="22"/>
          </w:rPr>
          <w:t>ČBA Monitor</w:t>
        </w:r>
      </w:hyperlink>
      <w:r>
        <w:rPr>
          <w:rFonts w:ascii="Calibri" w:hAnsi="Calibri" w:cs="Calibri"/>
          <w:color w:val="000000"/>
          <w:sz w:val="22"/>
          <w:szCs w:val="22"/>
        </w:rPr>
        <w:t xml:space="preserve">). </w:t>
      </w:r>
      <w:r w:rsidRPr="0033440C">
        <w:rPr>
          <w:rFonts w:ascii="Calibri" w:hAnsi="Calibri" w:cs="Calibri"/>
          <w:color w:val="000000"/>
          <w:sz w:val="22"/>
          <w:szCs w:val="22"/>
        </w:rPr>
        <w:t xml:space="preserve"> </w:t>
      </w:r>
    </w:p>
    <w:p w14:paraId="4E462F23" w14:textId="77777777" w:rsidR="005343BA" w:rsidRDefault="005343BA" w:rsidP="00263207">
      <w:pPr>
        <w:rPr>
          <w:rFonts w:ascii="Calibri" w:hAnsi="Calibri" w:cs="Calibri"/>
          <w:color w:val="000000" w:themeColor="text1"/>
          <w:sz w:val="22"/>
          <w:szCs w:val="22"/>
        </w:rPr>
      </w:pPr>
    </w:p>
    <w:p w14:paraId="45F044CF" w14:textId="77777777" w:rsidR="005343BA" w:rsidRDefault="005343BA" w:rsidP="005343BA">
      <w:pPr>
        <w:rPr>
          <w:rFonts w:ascii="Calibri" w:hAnsi="Calibri" w:cs="Calibri"/>
          <w:b/>
          <w:color w:val="13576B"/>
          <w:sz w:val="24"/>
          <w:szCs w:val="24"/>
        </w:rPr>
      </w:pPr>
      <w:r w:rsidRPr="00AF2306">
        <w:rPr>
          <w:rFonts w:ascii="Calibri" w:hAnsi="Calibri" w:cs="Calibri"/>
          <w:b/>
          <w:color w:val="13576B"/>
          <w:sz w:val="24"/>
          <w:szCs w:val="24"/>
        </w:rPr>
        <w:t>Dopad na průměrnou splátku</w:t>
      </w:r>
    </w:p>
    <w:p w14:paraId="50D3F3A4" w14:textId="77777777" w:rsidR="005343BA" w:rsidRDefault="005343BA" w:rsidP="00263207">
      <w:pPr>
        <w:rPr>
          <w:rFonts w:ascii="Calibri" w:hAnsi="Calibri" w:cs="Calibri"/>
          <w:color w:val="000000" w:themeColor="text1"/>
          <w:sz w:val="22"/>
          <w:szCs w:val="22"/>
        </w:rPr>
      </w:pPr>
    </w:p>
    <w:p w14:paraId="521635E6" w14:textId="60A29EAF" w:rsidR="0033440C" w:rsidRDefault="0033440C" w:rsidP="00263207">
      <w:pPr>
        <w:rPr>
          <w:rFonts w:ascii="Calibri" w:hAnsi="Calibri" w:cs="Calibri"/>
          <w:color w:val="000000" w:themeColor="text1"/>
          <w:sz w:val="22"/>
          <w:szCs w:val="22"/>
        </w:rPr>
      </w:pPr>
      <w:r w:rsidRPr="0033440C">
        <w:rPr>
          <w:rFonts w:ascii="Calibri" w:hAnsi="Calibri" w:cs="Calibri"/>
          <w:b/>
          <w:bCs/>
          <w:color w:val="000000" w:themeColor="text1"/>
          <w:sz w:val="22"/>
          <w:szCs w:val="22"/>
        </w:rPr>
        <w:t xml:space="preserve">Kombinace poklesu úrokové sazby a vyšší průměrné výše hypotéky v březnu 2025 ve srovnání s průměrnými hodnotami z roku 2024 zvýšily průměrnou měsíční splátku hypotéky o 1,3 tis. Kč. </w:t>
      </w:r>
      <w:r w:rsidRPr="0033440C">
        <w:rPr>
          <w:rFonts w:ascii="Calibri" w:hAnsi="Calibri" w:cs="Calibri"/>
          <w:color w:val="000000" w:themeColor="text1"/>
          <w:sz w:val="22"/>
          <w:szCs w:val="22"/>
        </w:rPr>
        <w:t>Scénáře vývoje měsíční splátky pro různé délky splatnosti hypotéky znázorňuje tabulka č. 2. Ta napovídá, že pokles hypotečních sazeb bezmála o 0,4% bodu vůči jejich průměrné výši 5,07 % v roce 2024 přinesl, pro průměrnou velikost hypotéky při jejím obvyklém přibližně 26,5letém splácení, snížení měsíční splátky o více než 900 Kč na přibližně 22,3 tis. Kč, tedy o 1 % čistého příjmu žadatele v porovnání s průměrnou splátkou v minulém roce. Ve srovnání s průměrnou hypoteční sazbou 5,81 % v roce 2023 dosáhla úspora kvůli úrokové sazbě více než 2</w:t>
      </w:r>
      <w:r w:rsidR="00684FDE">
        <w:rPr>
          <w:rFonts w:ascii="Calibri" w:hAnsi="Calibri" w:cs="Calibri"/>
          <w:color w:val="000000" w:themeColor="text1"/>
          <w:sz w:val="22"/>
          <w:szCs w:val="22"/>
        </w:rPr>
        <w:t xml:space="preserve"> </w:t>
      </w:r>
      <w:r w:rsidRPr="0033440C">
        <w:rPr>
          <w:rFonts w:ascii="Calibri" w:hAnsi="Calibri" w:cs="Calibri"/>
          <w:color w:val="000000" w:themeColor="text1"/>
          <w:sz w:val="22"/>
          <w:szCs w:val="22"/>
        </w:rPr>
        <w:t xml:space="preserve">700 Kč, což je ovšem opět pro aktuální hodnotu průměrné nové hypotéky. </w:t>
      </w:r>
    </w:p>
    <w:p w14:paraId="68837497" w14:textId="77777777" w:rsidR="0033440C" w:rsidRDefault="0033440C" w:rsidP="00263207">
      <w:pPr>
        <w:rPr>
          <w:rFonts w:ascii="Calibri" w:hAnsi="Calibri" w:cs="Calibri"/>
          <w:color w:val="000000" w:themeColor="text1"/>
          <w:sz w:val="22"/>
          <w:szCs w:val="22"/>
        </w:rPr>
      </w:pPr>
    </w:p>
    <w:p w14:paraId="09A87FC1" w14:textId="4819201D" w:rsidR="00BA321E" w:rsidRDefault="0033440C" w:rsidP="00263207">
      <w:pPr>
        <w:rPr>
          <w:rFonts w:ascii="Calibri" w:hAnsi="Calibri" w:cs="Calibri"/>
          <w:color w:val="000000" w:themeColor="text1"/>
          <w:sz w:val="22"/>
          <w:szCs w:val="22"/>
        </w:rPr>
      </w:pPr>
      <w:r w:rsidRPr="0033440C">
        <w:rPr>
          <w:rFonts w:ascii="Calibri" w:hAnsi="Calibri" w:cs="Calibri"/>
          <w:color w:val="000000" w:themeColor="text1"/>
          <w:sz w:val="22"/>
          <w:szCs w:val="22"/>
        </w:rPr>
        <w:t>Ovšem současná průměrná výše hypotéky je o 11 % vyšší než její průměrná výše v roce 2024, což přispívá k navýšení měsíční splátky o 2,1 tis. Kč ve srovnání s průměrnou měsíční splátkou v minulém roce navázanou na loňskou průměrnou výši hypotéky ovšem při současné úrokové sazbě. Splátka hypotéky ve výši jednoho milionu korun s 30letou splatností se se současnými úrokovými sazbami pohybuje okolo 5,2 tisíce Kč.</w:t>
      </w:r>
    </w:p>
    <w:p w14:paraId="4EBEDDAC" w14:textId="77777777" w:rsidR="006C6628" w:rsidRDefault="006C6628" w:rsidP="00263207">
      <w:pPr>
        <w:rPr>
          <w:rFonts w:ascii="Calibri" w:hAnsi="Calibri" w:cs="Calibri"/>
          <w:color w:val="000000" w:themeColor="text1"/>
          <w:sz w:val="22"/>
          <w:szCs w:val="22"/>
        </w:rPr>
      </w:pPr>
    </w:p>
    <w:p w14:paraId="601287C1" w14:textId="05EC231D" w:rsidR="00684FDE" w:rsidRPr="00684FDE" w:rsidRDefault="00684FDE" w:rsidP="00684FDE">
      <w:pPr>
        <w:rPr>
          <w:rFonts w:ascii="Calibri" w:hAnsi="Calibri" w:cs="Calibri"/>
          <w:color w:val="000000" w:themeColor="text1"/>
          <w:sz w:val="22"/>
          <w:szCs w:val="22"/>
        </w:rPr>
      </w:pPr>
      <w:r w:rsidRPr="00684FDE">
        <w:rPr>
          <w:rFonts w:ascii="Calibri" w:hAnsi="Calibri" w:cs="Calibri"/>
          <w:color w:val="000000" w:themeColor="text1"/>
          <w:sz w:val="22"/>
          <w:szCs w:val="22"/>
        </w:rPr>
        <w:t>Naopak, ve srovnání s průměrnou 2,8% úrokovou hypoteční sazbou pro nové hypotéky v roce 2019, tak současná hypoteční sazba pro refinancování ve výši 4,66 % při zkrácení splatnosti úvěru zvedá měsíční splátky u průměrné hypotéky přibližně o více než 1</w:t>
      </w:r>
      <w:r>
        <w:rPr>
          <w:rFonts w:ascii="Calibri" w:hAnsi="Calibri" w:cs="Calibri"/>
          <w:color w:val="000000" w:themeColor="text1"/>
          <w:sz w:val="22"/>
          <w:szCs w:val="22"/>
        </w:rPr>
        <w:t xml:space="preserve"> </w:t>
      </w:r>
      <w:r w:rsidRPr="00684FDE">
        <w:rPr>
          <w:rFonts w:ascii="Calibri" w:hAnsi="Calibri" w:cs="Calibri"/>
          <w:color w:val="000000" w:themeColor="text1"/>
          <w:sz w:val="22"/>
          <w:szCs w:val="22"/>
        </w:rPr>
        <w:t>800 Kč, tedy asi o 3,8 % současné hrubé průměrné mzdy.</w:t>
      </w:r>
    </w:p>
    <w:p w14:paraId="65D7C70A" w14:textId="77777777" w:rsidR="006C6628" w:rsidRDefault="006C6628" w:rsidP="00263207">
      <w:pPr>
        <w:rPr>
          <w:rFonts w:ascii="Calibri" w:hAnsi="Calibri" w:cs="Calibri"/>
          <w:sz w:val="22"/>
          <w:szCs w:val="22"/>
        </w:rPr>
      </w:pPr>
    </w:p>
    <w:p w14:paraId="08887148" w14:textId="2216C244" w:rsidR="00AF2306" w:rsidRDefault="00AF2306" w:rsidP="00AF2306">
      <w:pPr>
        <w:spacing w:after="120"/>
        <w:rPr>
          <w:rFonts w:ascii="Calibri" w:hAnsi="Calibri" w:cs="Calibri"/>
          <w:b/>
          <w:color w:val="13576B"/>
          <w:sz w:val="23"/>
          <w:szCs w:val="23"/>
        </w:rPr>
      </w:pPr>
      <w:r w:rsidRPr="00C42E87">
        <w:rPr>
          <w:rFonts w:ascii="Calibri" w:hAnsi="Calibri" w:cs="Calibri"/>
          <w:b/>
          <w:color w:val="13576B"/>
          <w:sz w:val="23"/>
          <w:szCs w:val="23"/>
        </w:rPr>
        <w:t>Graf č. 2: Průměrná výše skutečně nově poskytnuté hypotéky podle účelu</w:t>
      </w:r>
    </w:p>
    <w:p w14:paraId="28F88981" w14:textId="5A85E8FD" w:rsidR="006C6628" w:rsidRPr="006C6628" w:rsidRDefault="006C6628" w:rsidP="000B064D">
      <w:pPr>
        <w:rPr>
          <w:rFonts w:ascii="Calibri" w:hAnsi="Calibri" w:cs="Calibri"/>
          <w:bCs/>
          <w:i/>
          <w:iCs/>
          <w:color w:val="13576B"/>
          <w:sz w:val="23"/>
          <w:szCs w:val="23"/>
        </w:rPr>
      </w:pPr>
      <w:r>
        <w:rPr>
          <w:rFonts w:ascii="Calibri" w:hAnsi="Calibri" w:cs="Calibri"/>
          <w:bCs/>
          <w:i/>
          <w:iCs/>
          <w:color w:val="13576B"/>
          <w:sz w:val="23"/>
          <w:szCs w:val="23"/>
        </w:rPr>
        <w:t xml:space="preserve">K mírnému březnovému navýšení průměrné výše hypotéky přispěl návrat vyšší průměrné </w:t>
      </w:r>
      <w:r w:rsidR="0080372E">
        <w:rPr>
          <w:rFonts w:ascii="Calibri" w:hAnsi="Calibri" w:cs="Calibri"/>
          <w:bCs/>
          <w:i/>
          <w:iCs/>
          <w:color w:val="13576B"/>
          <w:sz w:val="23"/>
          <w:szCs w:val="23"/>
        </w:rPr>
        <w:t>hypotéky na</w:t>
      </w:r>
      <w:r>
        <w:rPr>
          <w:rFonts w:ascii="Calibri" w:hAnsi="Calibri" w:cs="Calibri"/>
          <w:bCs/>
          <w:i/>
          <w:iCs/>
          <w:color w:val="13576B"/>
          <w:sz w:val="23"/>
          <w:szCs w:val="23"/>
        </w:rPr>
        <w:t xml:space="preserve"> výstavb</w:t>
      </w:r>
      <w:r w:rsidR="0080372E">
        <w:rPr>
          <w:rFonts w:ascii="Calibri" w:hAnsi="Calibri" w:cs="Calibri"/>
          <w:bCs/>
          <w:i/>
          <w:iCs/>
          <w:color w:val="13576B"/>
          <w:sz w:val="23"/>
          <w:szCs w:val="23"/>
        </w:rPr>
        <w:t>u p</w:t>
      </w:r>
      <w:r>
        <w:rPr>
          <w:rFonts w:ascii="Calibri" w:hAnsi="Calibri" w:cs="Calibri"/>
          <w:bCs/>
          <w:i/>
          <w:iCs/>
          <w:color w:val="13576B"/>
          <w:sz w:val="23"/>
          <w:szCs w:val="23"/>
        </w:rPr>
        <w:t>ři relativně stabilní výš</w:t>
      </w:r>
      <w:r w:rsidR="0080372E">
        <w:rPr>
          <w:rFonts w:ascii="Calibri" w:hAnsi="Calibri" w:cs="Calibri"/>
          <w:bCs/>
          <w:i/>
          <w:iCs/>
          <w:color w:val="13576B"/>
          <w:sz w:val="23"/>
          <w:szCs w:val="23"/>
        </w:rPr>
        <w:t>i</w:t>
      </w:r>
      <w:r>
        <w:rPr>
          <w:rFonts w:ascii="Calibri" w:hAnsi="Calibri" w:cs="Calibri"/>
          <w:bCs/>
          <w:i/>
          <w:iCs/>
          <w:color w:val="13576B"/>
          <w:sz w:val="23"/>
          <w:szCs w:val="23"/>
        </w:rPr>
        <w:t xml:space="preserve"> průměrného</w:t>
      </w:r>
      <w:r w:rsidR="0080372E">
        <w:rPr>
          <w:rFonts w:ascii="Calibri" w:hAnsi="Calibri" w:cs="Calibri"/>
          <w:bCs/>
          <w:i/>
          <w:iCs/>
          <w:color w:val="13576B"/>
          <w:sz w:val="23"/>
          <w:szCs w:val="23"/>
        </w:rPr>
        <w:t xml:space="preserve"> hypotečního</w:t>
      </w:r>
      <w:r>
        <w:rPr>
          <w:rFonts w:ascii="Calibri" w:hAnsi="Calibri" w:cs="Calibri"/>
          <w:bCs/>
          <w:i/>
          <w:iCs/>
          <w:color w:val="13576B"/>
          <w:sz w:val="23"/>
          <w:szCs w:val="23"/>
        </w:rPr>
        <w:t xml:space="preserve"> úvěru na koupi.</w:t>
      </w:r>
    </w:p>
    <w:p w14:paraId="756E79B2" w14:textId="41DB5527" w:rsidR="00AF2306" w:rsidRPr="002138C0" w:rsidRDefault="00C42E87" w:rsidP="00AF2306">
      <w:pPr>
        <w:rPr>
          <w:rFonts w:ascii="Calibri" w:hAnsi="Calibri" w:cs="Calibri"/>
          <w:sz w:val="22"/>
          <w:szCs w:val="22"/>
          <w:highlight w:val="yellow"/>
        </w:rPr>
      </w:pPr>
      <w:r>
        <w:rPr>
          <w:noProof/>
        </w:rPr>
        <w:drawing>
          <wp:inline distT="0" distB="0" distL="0" distR="0" wp14:anchorId="165E928F" wp14:editId="6B9D15AF">
            <wp:extent cx="4191000" cy="2504056"/>
            <wp:effectExtent l="0" t="0" r="0" b="0"/>
            <wp:docPr id="1502233223" name="Picture 1" descr="A graph of a graph showing the growth of the stock mar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33223" name="Picture 1" descr="A graph of a graph showing the growth of the stock market&#10;&#10;AI-generated content may be incorrect."/>
                    <pic:cNvPicPr/>
                  </pic:nvPicPr>
                  <pic:blipFill>
                    <a:blip r:embed="rId13"/>
                    <a:stretch>
                      <a:fillRect/>
                    </a:stretch>
                  </pic:blipFill>
                  <pic:spPr>
                    <a:xfrm>
                      <a:off x="0" y="0"/>
                      <a:ext cx="4201877" cy="2510555"/>
                    </a:xfrm>
                    <a:prstGeom prst="rect">
                      <a:avLst/>
                    </a:prstGeom>
                  </pic:spPr>
                </pic:pic>
              </a:graphicData>
            </a:graphic>
          </wp:inline>
        </w:drawing>
      </w:r>
    </w:p>
    <w:p w14:paraId="2A3F97C1" w14:textId="77777777" w:rsidR="00AF2306" w:rsidRPr="00616069" w:rsidRDefault="00AF2306" w:rsidP="00AF2306">
      <w:pPr>
        <w:overflowPunct/>
        <w:autoSpaceDE/>
        <w:adjustRightInd/>
        <w:rPr>
          <w:rFonts w:ascii="Calibri Light" w:hAnsi="Calibri Light" w:cs="Calibri Light"/>
          <w:color w:val="13576B"/>
          <w:sz w:val="20"/>
        </w:rPr>
      </w:pPr>
      <w:r w:rsidRPr="002F4CBD">
        <w:rPr>
          <w:rFonts w:ascii="Calibri Light" w:hAnsi="Calibri Light" w:cs="Calibri Light"/>
          <w:color w:val="13576B"/>
          <w:sz w:val="20"/>
        </w:rPr>
        <w:t xml:space="preserve">Pramen: </w:t>
      </w:r>
      <w:r>
        <w:rPr>
          <w:rFonts w:ascii="Calibri Light" w:hAnsi="Calibri Light" w:cs="Calibri Light"/>
          <w:color w:val="13576B"/>
          <w:sz w:val="20"/>
        </w:rPr>
        <w:t xml:space="preserve">ČNB, </w:t>
      </w:r>
      <w:r w:rsidRPr="002F4CBD">
        <w:rPr>
          <w:rFonts w:ascii="Calibri Light" w:hAnsi="Calibri Light" w:cs="Calibri Light"/>
          <w:color w:val="13576B"/>
          <w:sz w:val="20"/>
        </w:rPr>
        <w:t>ČBA Hypomonitor</w:t>
      </w:r>
    </w:p>
    <w:p w14:paraId="504880F7" w14:textId="77777777" w:rsidR="00AF2306" w:rsidRPr="00A02F5D" w:rsidRDefault="00AF2306" w:rsidP="00263207">
      <w:pPr>
        <w:rPr>
          <w:rFonts w:ascii="Calibri" w:hAnsi="Calibri" w:cs="Calibri"/>
          <w:sz w:val="22"/>
          <w:szCs w:val="22"/>
        </w:rPr>
      </w:pPr>
    </w:p>
    <w:p w14:paraId="6053D3C2" w14:textId="77777777" w:rsidR="00B31E3C" w:rsidRPr="00A02F5D" w:rsidRDefault="00B31E3C" w:rsidP="00263207">
      <w:pPr>
        <w:rPr>
          <w:rFonts w:ascii="Calibri" w:hAnsi="Calibri" w:cs="Calibri"/>
          <w:b/>
          <w:bCs/>
          <w:sz w:val="22"/>
          <w:szCs w:val="22"/>
        </w:rPr>
      </w:pPr>
    </w:p>
    <w:p w14:paraId="5064332F" w14:textId="3A4DADF4" w:rsidR="00BA321E" w:rsidRPr="005B4E45" w:rsidRDefault="00BA321E" w:rsidP="00287580">
      <w:pPr>
        <w:overflowPunct/>
        <w:autoSpaceDE/>
        <w:autoSpaceDN/>
        <w:adjustRightInd/>
        <w:textAlignment w:val="auto"/>
        <w:rPr>
          <w:rFonts w:ascii="Calibri" w:hAnsi="Calibri" w:cs="Calibri"/>
          <w:b/>
          <w:bCs/>
          <w:sz w:val="22"/>
          <w:szCs w:val="22"/>
        </w:rPr>
      </w:pPr>
    </w:p>
    <w:p w14:paraId="1A267256" w14:textId="4EA001DC" w:rsidR="009D3067" w:rsidRPr="00515ECA" w:rsidRDefault="009D3067" w:rsidP="007F41A0">
      <w:pPr>
        <w:overflowPunct/>
        <w:autoSpaceDE/>
        <w:autoSpaceDN/>
        <w:adjustRightInd/>
        <w:spacing w:after="160" w:line="259" w:lineRule="auto"/>
        <w:textAlignment w:val="auto"/>
        <w:rPr>
          <w:rFonts w:ascii="Calibri" w:hAnsi="Calibri" w:cs="Calibri"/>
          <w:b/>
          <w:color w:val="13576B"/>
          <w:sz w:val="23"/>
          <w:szCs w:val="23"/>
        </w:rPr>
      </w:pPr>
      <w:bookmarkStart w:id="6" w:name="_Hlk190458144"/>
      <w:bookmarkEnd w:id="5"/>
      <w:r w:rsidRPr="00515ECA">
        <w:rPr>
          <w:rFonts w:ascii="Calibri" w:hAnsi="Calibri" w:cs="Calibri"/>
          <w:b/>
          <w:color w:val="13576B"/>
          <w:sz w:val="23"/>
          <w:szCs w:val="23"/>
        </w:rPr>
        <w:lastRenderedPageBreak/>
        <w:t xml:space="preserve">Tabulka č. 2: </w:t>
      </w:r>
      <w:r w:rsidR="004B441B">
        <w:rPr>
          <w:rFonts w:ascii="Calibri" w:hAnsi="Calibri" w:cs="Calibri"/>
          <w:b/>
          <w:color w:val="13576B"/>
          <w:sz w:val="23"/>
          <w:szCs w:val="23"/>
        </w:rPr>
        <w:t>Ilustrace</w:t>
      </w:r>
      <w:r w:rsidR="00EB1892">
        <w:rPr>
          <w:rFonts w:ascii="Calibri" w:hAnsi="Calibri" w:cs="Calibri"/>
          <w:b/>
          <w:color w:val="13576B"/>
          <w:sz w:val="23"/>
          <w:szCs w:val="23"/>
        </w:rPr>
        <w:t xml:space="preserve"> m</w:t>
      </w:r>
      <w:r w:rsidRPr="00515ECA">
        <w:rPr>
          <w:rFonts w:ascii="Calibri" w:hAnsi="Calibri" w:cs="Calibri"/>
          <w:b/>
          <w:color w:val="13576B"/>
          <w:sz w:val="23"/>
          <w:szCs w:val="23"/>
        </w:rPr>
        <w:t>ěsíční splátk</w:t>
      </w:r>
      <w:r w:rsidR="004B441B">
        <w:rPr>
          <w:rFonts w:ascii="Calibri" w:hAnsi="Calibri" w:cs="Calibri"/>
          <w:b/>
          <w:color w:val="13576B"/>
          <w:sz w:val="23"/>
          <w:szCs w:val="23"/>
        </w:rPr>
        <w:t>y</w:t>
      </w:r>
      <w:r w:rsidRPr="00515ECA">
        <w:rPr>
          <w:rFonts w:ascii="Calibri" w:hAnsi="Calibri" w:cs="Calibri"/>
          <w:b/>
          <w:color w:val="13576B"/>
          <w:sz w:val="23"/>
          <w:szCs w:val="23"/>
        </w:rPr>
        <w:t xml:space="preserve"> průměrné hypotéky v závislosti na délce splatnosti a úrokové sazbě</w:t>
      </w:r>
    </w:p>
    <w:tbl>
      <w:tblPr>
        <w:tblW w:w="10206" w:type="dxa"/>
        <w:tblCellMar>
          <w:left w:w="70" w:type="dxa"/>
          <w:right w:w="70" w:type="dxa"/>
        </w:tblCellMar>
        <w:tblLook w:val="04A0" w:firstRow="1" w:lastRow="0" w:firstColumn="1" w:lastColumn="0" w:noHBand="0" w:noVBand="1"/>
      </w:tblPr>
      <w:tblGrid>
        <w:gridCol w:w="3828"/>
        <w:gridCol w:w="648"/>
        <w:gridCol w:w="955"/>
        <w:gridCol w:w="955"/>
        <w:gridCol w:w="955"/>
        <w:gridCol w:w="955"/>
        <w:gridCol w:w="955"/>
        <w:gridCol w:w="955"/>
      </w:tblGrid>
      <w:tr w:rsidR="00D5517C" w:rsidRPr="002138C0" w14:paraId="2E0F9EE8" w14:textId="77777777" w:rsidTr="00EB1892">
        <w:trPr>
          <w:trHeight w:val="555"/>
        </w:trPr>
        <w:tc>
          <w:tcPr>
            <w:tcW w:w="4476" w:type="dxa"/>
            <w:gridSpan w:val="2"/>
            <w:tcBorders>
              <w:top w:val="nil"/>
              <w:left w:val="nil"/>
              <w:bottom w:val="single" w:sz="4" w:space="0" w:color="auto"/>
              <w:right w:val="nil"/>
            </w:tcBorders>
            <w:shd w:val="clear" w:color="auto" w:fill="auto"/>
            <w:noWrap/>
            <w:vAlign w:val="center"/>
            <w:hideMark/>
          </w:tcPr>
          <w:p w14:paraId="0EFE9691" w14:textId="77777777" w:rsidR="00D5517C" w:rsidRPr="00F23602" w:rsidRDefault="00D5517C" w:rsidP="00D5517C">
            <w:pPr>
              <w:overflowPunct/>
              <w:autoSpaceDE/>
              <w:autoSpaceDN/>
              <w:adjustRightInd/>
              <w:jc w:val="left"/>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Průměrná velikost nové hypotéky v Kč:</w:t>
            </w:r>
          </w:p>
        </w:tc>
        <w:tc>
          <w:tcPr>
            <w:tcW w:w="955" w:type="dxa"/>
            <w:tcBorders>
              <w:top w:val="nil"/>
              <w:left w:val="nil"/>
              <w:bottom w:val="single" w:sz="4" w:space="0" w:color="auto"/>
              <w:right w:val="nil"/>
            </w:tcBorders>
            <w:shd w:val="clear" w:color="auto" w:fill="auto"/>
            <w:noWrap/>
            <w:vAlign w:val="center"/>
            <w:hideMark/>
          </w:tcPr>
          <w:p w14:paraId="57E2DFCA"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955" w:type="dxa"/>
            <w:tcBorders>
              <w:top w:val="nil"/>
              <w:left w:val="nil"/>
              <w:bottom w:val="single" w:sz="4" w:space="0" w:color="auto"/>
              <w:right w:val="nil"/>
            </w:tcBorders>
            <w:shd w:val="clear" w:color="auto" w:fill="auto"/>
            <w:noWrap/>
            <w:vAlign w:val="center"/>
            <w:hideMark/>
          </w:tcPr>
          <w:p w14:paraId="35B01B2E" w14:textId="294A28AB"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r w:rsidR="00700C93" w:rsidRPr="00F23602">
              <w:rPr>
                <w:rFonts w:ascii="Calibri" w:hAnsi="Calibri" w:cs="Calibri"/>
                <w:color w:val="000000"/>
                <w:sz w:val="22"/>
                <w:szCs w:val="22"/>
              </w:rPr>
              <w:t xml:space="preserve"> </w:t>
            </w:r>
          </w:p>
        </w:tc>
        <w:tc>
          <w:tcPr>
            <w:tcW w:w="3820" w:type="dxa"/>
            <w:gridSpan w:val="4"/>
            <w:tcBorders>
              <w:top w:val="nil"/>
              <w:left w:val="nil"/>
              <w:bottom w:val="single" w:sz="4" w:space="0" w:color="auto"/>
              <w:right w:val="nil"/>
            </w:tcBorders>
            <w:shd w:val="clear" w:color="auto" w:fill="auto"/>
            <w:noWrap/>
            <w:vAlign w:val="center"/>
            <w:hideMark/>
          </w:tcPr>
          <w:p w14:paraId="400F8289" w14:textId="7ECBD698" w:rsidR="00490505" w:rsidRPr="00F23602" w:rsidRDefault="0033440C"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4 065 955</w:t>
            </w:r>
          </w:p>
        </w:tc>
      </w:tr>
      <w:tr w:rsidR="00F23602" w:rsidRPr="002138C0" w14:paraId="3A9D14C4" w14:textId="77777777" w:rsidTr="00EB1892">
        <w:trPr>
          <w:trHeight w:val="300"/>
        </w:trPr>
        <w:tc>
          <w:tcPr>
            <w:tcW w:w="3828" w:type="dxa"/>
            <w:tcBorders>
              <w:top w:val="nil"/>
              <w:left w:val="nil"/>
              <w:bottom w:val="single" w:sz="4" w:space="0" w:color="auto"/>
              <w:right w:val="nil"/>
            </w:tcBorders>
            <w:shd w:val="clear" w:color="auto" w:fill="auto"/>
            <w:noWrap/>
            <w:vAlign w:val="bottom"/>
            <w:hideMark/>
          </w:tcPr>
          <w:p w14:paraId="284FFBA8" w14:textId="77777777" w:rsidR="00F23602" w:rsidRPr="00F23602" w:rsidRDefault="00F23602" w:rsidP="00F23602">
            <w:pPr>
              <w:overflowPunct/>
              <w:autoSpaceDE/>
              <w:autoSpaceDN/>
              <w:adjustRightInd/>
              <w:jc w:val="left"/>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Průměrná úroková sazba v %:</w:t>
            </w:r>
          </w:p>
        </w:tc>
        <w:tc>
          <w:tcPr>
            <w:tcW w:w="648" w:type="dxa"/>
            <w:tcBorders>
              <w:top w:val="nil"/>
              <w:left w:val="nil"/>
              <w:bottom w:val="single" w:sz="4" w:space="0" w:color="auto"/>
              <w:right w:val="nil"/>
            </w:tcBorders>
            <w:shd w:val="clear" w:color="auto" w:fill="auto"/>
            <w:noWrap/>
            <w:vAlign w:val="bottom"/>
            <w:hideMark/>
          </w:tcPr>
          <w:p w14:paraId="1F76198D" w14:textId="77777777" w:rsidR="00F23602" w:rsidRPr="00F23602" w:rsidRDefault="00F23602" w:rsidP="00F23602">
            <w:pPr>
              <w:overflowPunct/>
              <w:autoSpaceDE/>
              <w:autoSpaceDN/>
              <w:adjustRightInd/>
              <w:jc w:val="left"/>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 </w:t>
            </w:r>
          </w:p>
        </w:tc>
        <w:tc>
          <w:tcPr>
            <w:tcW w:w="955" w:type="dxa"/>
            <w:tcBorders>
              <w:top w:val="nil"/>
              <w:left w:val="nil"/>
              <w:bottom w:val="single" w:sz="4" w:space="0" w:color="auto"/>
              <w:right w:val="nil"/>
            </w:tcBorders>
            <w:shd w:val="clear" w:color="auto" w:fill="auto"/>
            <w:noWrap/>
            <w:vAlign w:val="center"/>
            <w:hideMark/>
          </w:tcPr>
          <w:p w14:paraId="10BEEE92" w14:textId="18F743FA" w:rsidR="00F23602" w:rsidRPr="00F23602" w:rsidRDefault="00F23602" w:rsidP="00F23602">
            <w:pPr>
              <w:overflowPunct/>
              <w:autoSpaceDE/>
              <w:autoSpaceDN/>
              <w:adjustRightInd/>
              <w:jc w:val="center"/>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2,0</w:t>
            </w:r>
          </w:p>
        </w:tc>
        <w:tc>
          <w:tcPr>
            <w:tcW w:w="955" w:type="dxa"/>
            <w:tcBorders>
              <w:top w:val="nil"/>
              <w:left w:val="nil"/>
              <w:bottom w:val="single" w:sz="4" w:space="0" w:color="auto"/>
              <w:right w:val="nil"/>
            </w:tcBorders>
            <w:shd w:val="clear" w:color="auto" w:fill="auto"/>
            <w:noWrap/>
            <w:vAlign w:val="center"/>
            <w:hideMark/>
          </w:tcPr>
          <w:p w14:paraId="07D3214C" w14:textId="1130DD68" w:rsidR="00F23602" w:rsidRPr="00F23602" w:rsidRDefault="00F23602" w:rsidP="00F23602">
            <w:pPr>
              <w:overflowPunct/>
              <w:autoSpaceDE/>
              <w:autoSpaceDN/>
              <w:adjustRightInd/>
              <w:jc w:val="center"/>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3,0</w:t>
            </w:r>
          </w:p>
        </w:tc>
        <w:tc>
          <w:tcPr>
            <w:tcW w:w="955" w:type="dxa"/>
            <w:tcBorders>
              <w:top w:val="nil"/>
              <w:left w:val="nil"/>
              <w:bottom w:val="single" w:sz="4" w:space="0" w:color="auto"/>
              <w:right w:val="nil"/>
            </w:tcBorders>
            <w:shd w:val="clear" w:color="auto" w:fill="auto"/>
            <w:noWrap/>
            <w:vAlign w:val="center"/>
            <w:hideMark/>
          </w:tcPr>
          <w:p w14:paraId="49B1144F" w14:textId="1E0730A6" w:rsidR="00F23602" w:rsidRPr="00F23602" w:rsidRDefault="00F23602" w:rsidP="00F23602">
            <w:pPr>
              <w:overflowPunct/>
              <w:autoSpaceDE/>
              <w:autoSpaceDN/>
              <w:adjustRightInd/>
              <w:jc w:val="center"/>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4,0</w:t>
            </w:r>
          </w:p>
        </w:tc>
        <w:tc>
          <w:tcPr>
            <w:tcW w:w="955" w:type="dxa"/>
            <w:tcBorders>
              <w:top w:val="nil"/>
              <w:left w:val="nil"/>
              <w:bottom w:val="single" w:sz="4" w:space="0" w:color="auto"/>
              <w:right w:val="nil"/>
            </w:tcBorders>
            <w:shd w:val="clear" w:color="000000" w:fill="DAF3EA"/>
            <w:noWrap/>
            <w:vAlign w:val="center"/>
            <w:hideMark/>
          </w:tcPr>
          <w:p w14:paraId="29650147" w14:textId="069FB431" w:rsidR="00F23602" w:rsidRPr="002138C0" w:rsidRDefault="00F23602" w:rsidP="00F23602">
            <w:pPr>
              <w:overflowPunct/>
              <w:autoSpaceDE/>
              <w:autoSpaceDN/>
              <w:adjustRightInd/>
              <w:jc w:val="center"/>
              <w:textAlignment w:val="auto"/>
              <w:rPr>
                <w:rFonts w:ascii="Calibri Light" w:hAnsi="Calibri Light" w:cs="Calibri Light"/>
                <w:b/>
                <w:bCs/>
                <w:color w:val="000000"/>
                <w:sz w:val="22"/>
                <w:szCs w:val="22"/>
                <w:highlight w:val="yellow"/>
              </w:rPr>
            </w:pPr>
            <w:r>
              <w:rPr>
                <w:rFonts w:ascii="Calibri Light" w:hAnsi="Calibri Light" w:cs="Calibri Light"/>
                <w:b/>
                <w:bCs/>
                <w:color w:val="000000"/>
                <w:sz w:val="22"/>
                <w:szCs w:val="22"/>
              </w:rPr>
              <w:t>4,</w:t>
            </w:r>
            <w:r w:rsidR="0033440C">
              <w:rPr>
                <w:rFonts w:ascii="Calibri Light" w:hAnsi="Calibri Light" w:cs="Calibri Light"/>
                <w:b/>
                <w:bCs/>
                <w:color w:val="000000"/>
                <w:sz w:val="22"/>
                <w:szCs w:val="22"/>
              </w:rPr>
              <w:t>68</w:t>
            </w:r>
          </w:p>
        </w:tc>
        <w:tc>
          <w:tcPr>
            <w:tcW w:w="955" w:type="dxa"/>
            <w:tcBorders>
              <w:top w:val="nil"/>
              <w:left w:val="nil"/>
              <w:bottom w:val="single" w:sz="4" w:space="0" w:color="auto"/>
              <w:right w:val="nil"/>
            </w:tcBorders>
            <w:shd w:val="clear" w:color="000000" w:fill="FFFFFF" w:themeFill="background1"/>
            <w:noWrap/>
            <w:vAlign w:val="center"/>
            <w:hideMark/>
          </w:tcPr>
          <w:p w14:paraId="22EECDD2" w14:textId="49E02541" w:rsidR="00F23602" w:rsidRPr="002138C0" w:rsidRDefault="00F23602" w:rsidP="00F23602">
            <w:pPr>
              <w:overflowPunct/>
              <w:autoSpaceDE/>
              <w:autoSpaceDN/>
              <w:adjustRightInd/>
              <w:jc w:val="center"/>
              <w:textAlignment w:val="auto"/>
              <w:rPr>
                <w:rFonts w:ascii="Calibri Light" w:hAnsi="Calibri Light" w:cs="Calibri Light"/>
                <w:b/>
                <w:bCs/>
                <w:color w:val="000000"/>
                <w:sz w:val="22"/>
                <w:szCs w:val="22"/>
                <w:highlight w:val="yellow"/>
              </w:rPr>
            </w:pPr>
            <w:r>
              <w:rPr>
                <w:rFonts w:ascii="Calibri Light" w:hAnsi="Calibri Light" w:cs="Calibri Light"/>
                <w:b/>
                <w:bCs/>
                <w:color w:val="000000"/>
                <w:sz w:val="22"/>
                <w:szCs w:val="22"/>
              </w:rPr>
              <w:t>5,0</w:t>
            </w:r>
          </w:p>
        </w:tc>
        <w:tc>
          <w:tcPr>
            <w:tcW w:w="955" w:type="dxa"/>
            <w:tcBorders>
              <w:top w:val="nil"/>
              <w:left w:val="nil"/>
              <w:bottom w:val="single" w:sz="4" w:space="0" w:color="auto"/>
              <w:right w:val="nil"/>
            </w:tcBorders>
            <w:shd w:val="clear" w:color="auto" w:fill="auto"/>
            <w:noWrap/>
            <w:vAlign w:val="center"/>
            <w:hideMark/>
          </w:tcPr>
          <w:p w14:paraId="3E5AC0A3" w14:textId="632AE5E6" w:rsidR="00F23602" w:rsidRPr="002138C0" w:rsidRDefault="00F23602" w:rsidP="00F23602">
            <w:pPr>
              <w:overflowPunct/>
              <w:autoSpaceDE/>
              <w:autoSpaceDN/>
              <w:adjustRightInd/>
              <w:jc w:val="center"/>
              <w:textAlignment w:val="auto"/>
              <w:rPr>
                <w:rFonts w:ascii="Calibri Light" w:hAnsi="Calibri Light" w:cs="Calibri Light"/>
                <w:b/>
                <w:bCs/>
                <w:color w:val="000000"/>
                <w:sz w:val="22"/>
                <w:szCs w:val="22"/>
                <w:highlight w:val="yellow"/>
              </w:rPr>
            </w:pPr>
            <w:r>
              <w:rPr>
                <w:rFonts w:ascii="Calibri Light" w:hAnsi="Calibri Light" w:cs="Calibri Light"/>
                <w:b/>
                <w:bCs/>
                <w:color w:val="000000"/>
                <w:sz w:val="22"/>
                <w:szCs w:val="22"/>
              </w:rPr>
              <w:t>6,0</w:t>
            </w:r>
          </w:p>
        </w:tc>
      </w:tr>
      <w:tr w:rsidR="00D5517C" w:rsidRPr="002138C0" w14:paraId="4905349F" w14:textId="77777777" w:rsidTr="00B3483B">
        <w:trPr>
          <w:trHeight w:val="300"/>
        </w:trPr>
        <w:tc>
          <w:tcPr>
            <w:tcW w:w="3828" w:type="dxa"/>
            <w:tcBorders>
              <w:top w:val="nil"/>
              <w:left w:val="nil"/>
              <w:bottom w:val="nil"/>
              <w:right w:val="nil"/>
            </w:tcBorders>
            <w:shd w:val="clear" w:color="auto" w:fill="auto"/>
            <w:noWrap/>
            <w:vAlign w:val="bottom"/>
            <w:hideMark/>
          </w:tcPr>
          <w:p w14:paraId="37327E18"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648" w:type="dxa"/>
            <w:tcBorders>
              <w:top w:val="nil"/>
              <w:left w:val="nil"/>
              <w:right w:val="nil"/>
            </w:tcBorders>
            <w:shd w:val="clear" w:color="auto" w:fill="auto"/>
            <w:noWrap/>
            <w:vAlign w:val="bottom"/>
            <w:hideMark/>
          </w:tcPr>
          <w:p w14:paraId="271C1EDC"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955" w:type="dxa"/>
            <w:tcBorders>
              <w:top w:val="nil"/>
              <w:left w:val="nil"/>
              <w:bottom w:val="single" w:sz="4" w:space="0" w:color="auto"/>
              <w:right w:val="nil"/>
            </w:tcBorders>
            <w:shd w:val="clear" w:color="auto" w:fill="auto"/>
            <w:noWrap/>
            <w:vAlign w:val="bottom"/>
            <w:hideMark/>
          </w:tcPr>
          <w:p w14:paraId="7CD8A3FA"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955" w:type="dxa"/>
            <w:tcBorders>
              <w:top w:val="nil"/>
              <w:left w:val="nil"/>
              <w:bottom w:val="single" w:sz="4" w:space="0" w:color="auto"/>
              <w:right w:val="nil"/>
            </w:tcBorders>
            <w:shd w:val="clear" w:color="auto" w:fill="auto"/>
            <w:noWrap/>
            <w:vAlign w:val="bottom"/>
            <w:hideMark/>
          </w:tcPr>
          <w:p w14:paraId="1E17A7A8"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3820" w:type="dxa"/>
            <w:gridSpan w:val="4"/>
            <w:tcBorders>
              <w:top w:val="single" w:sz="4" w:space="0" w:color="auto"/>
              <w:left w:val="nil"/>
              <w:bottom w:val="single" w:sz="4" w:space="0" w:color="auto"/>
              <w:right w:val="nil"/>
            </w:tcBorders>
            <w:shd w:val="clear" w:color="auto" w:fill="auto"/>
            <w:noWrap/>
            <w:vAlign w:val="bottom"/>
            <w:hideMark/>
          </w:tcPr>
          <w:p w14:paraId="0C8798FF" w14:textId="77777777" w:rsidR="00D5517C" w:rsidRPr="00F23602" w:rsidRDefault="00D5517C" w:rsidP="00D5517C">
            <w:pPr>
              <w:overflowPunct/>
              <w:autoSpaceDE/>
              <w:autoSpaceDN/>
              <w:adjustRightInd/>
              <w:jc w:val="center"/>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Měsíční splátka:</w:t>
            </w:r>
          </w:p>
        </w:tc>
      </w:tr>
      <w:tr w:rsidR="0033440C" w:rsidRPr="002138C0" w14:paraId="0A342D01" w14:textId="77777777" w:rsidTr="00B3483B">
        <w:trPr>
          <w:trHeight w:val="300"/>
        </w:trPr>
        <w:tc>
          <w:tcPr>
            <w:tcW w:w="3828" w:type="dxa"/>
            <w:tcBorders>
              <w:top w:val="nil"/>
              <w:left w:val="nil"/>
              <w:bottom w:val="nil"/>
              <w:right w:val="nil"/>
            </w:tcBorders>
            <w:shd w:val="clear" w:color="auto" w:fill="auto"/>
            <w:noWrap/>
            <w:vAlign w:val="bottom"/>
            <w:hideMark/>
          </w:tcPr>
          <w:p w14:paraId="67C08443" w14:textId="77777777" w:rsidR="0033440C" w:rsidRPr="00F23602" w:rsidRDefault="0033440C" w:rsidP="0033440C">
            <w:pPr>
              <w:overflowPunct/>
              <w:autoSpaceDE/>
              <w:autoSpaceDN/>
              <w:adjustRightInd/>
              <w:jc w:val="left"/>
              <w:textAlignment w:val="auto"/>
              <w:rPr>
                <w:rFonts w:ascii="Calibri Light" w:hAnsi="Calibri Light" w:cs="Calibri Light"/>
                <w:color w:val="000000"/>
                <w:sz w:val="22"/>
                <w:szCs w:val="22"/>
              </w:rPr>
            </w:pPr>
            <w:r w:rsidRPr="00F23602">
              <w:rPr>
                <w:rFonts w:ascii="Calibri Light" w:hAnsi="Calibri Light" w:cs="Calibri Light"/>
                <w:color w:val="000000"/>
                <w:sz w:val="22"/>
                <w:szCs w:val="22"/>
              </w:rPr>
              <w:t>Splatnost hypotéky v letech:</w:t>
            </w:r>
          </w:p>
        </w:tc>
        <w:tc>
          <w:tcPr>
            <w:tcW w:w="648" w:type="dxa"/>
            <w:tcBorders>
              <w:top w:val="nil"/>
              <w:left w:val="nil"/>
              <w:bottom w:val="nil"/>
              <w:right w:val="single" w:sz="4" w:space="0" w:color="auto"/>
            </w:tcBorders>
            <w:shd w:val="clear" w:color="auto" w:fill="auto"/>
            <w:noWrap/>
            <w:vAlign w:val="bottom"/>
            <w:hideMark/>
          </w:tcPr>
          <w:p w14:paraId="5F9EE9A3" w14:textId="2EE552D7" w:rsidR="0033440C" w:rsidRPr="00F23602" w:rsidRDefault="0033440C" w:rsidP="0033440C">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15</w:t>
            </w:r>
          </w:p>
        </w:tc>
        <w:tc>
          <w:tcPr>
            <w:tcW w:w="955" w:type="dxa"/>
            <w:tcBorders>
              <w:top w:val="nil"/>
              <w:left w:val="single" w:sz="4" w:space="0" w:color="auto"/>
              <w:bottom w:val="nil"/>
              <w:right w:val="nil"/>
            </w:tcBorders>
            <w:shd w:val="clear" w:color="auto" w:fill="auto"/>
            <w:noWrap/>
            <w:vAlign w:val="center"/>
            <w:hideMark/>
          </w:tcPr>
          <w:p w14:paraId="6E75F03F" w14:textId="488A52B7" w:rsidR="0033440C" w:rsidRPr="00F23602" w:rsidRDefault="0033440C" w:rsidP="0033440C">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26 160</w:t>
            </w:r>
          </w:p>
        </w:tc>
        <w:tc>
          <w:tcPr>
            <w:tcW w:w="955" w:type="dxa"/>
            <w:tcBorders>
              <w:top w:val="nil"/>
              <w:left w:val="nil"/>
              <w:bottom w:val="nil"/>
              <w:right w:val="nil"/>
            </w:tcBorders>
            <w:shd w:val="clear" w:color="auto" w:fill="auto"/>
            <w:noWrap/>
            <w:vAlign w:val="center"/>
            <w:hideMark/>
          </w:tcPr>
          <w:p w14:paraId="3D8E9F84" w14:textId="32040554" w:rsidR="0033440C" w:rsidRPr="00F23602" w:rsidRDefault="0033440C" w:rsidP="0033440C">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28 080</w:t>
            </w:r>
          </w:p>
        </w:tc>
        <w:tc>
          <w:tcPr>
            <w:tcW w:w="955" w:type="dxa"/>
            <w:tcBorders>
              <w:top w:val="nil"/>
              <w:left w:val="nil"/>
              <w:bottom w:val="nil"/>
              <w:right w:val="nil"/>
            </w:tcBorders>
            <w:shd w:val="clear" w:color="auto" w:fill="auto"/>
            <w:noWrap/>
            <w:vAlign w:val="center"/>
            <w:hideMark/>
          </w:tcPr>
          <w:p w14:paraId="238A63E5" w14:textId="2ECEB464" w:rsidR="0033440C" w:rsidRPr="00F23602" w:rsidRDefault="0033440C" w:rsidP="0033440C">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30 080</w:t>
            </w:r>
          </w:p>
        </w:tc>
        <w:tc>
          <w:tcPr>
            <w:tcW w:w="955" w:type="dxa"/>
            <w:tcBorders>
              <w:top w:val="nil"/>
              <w:left w:val="nil"/>
              <w:bottom w:val="nil"/>
              <w:right w:val="nil"/>
            </w:tcBorders>
            <w:shd w:val="clear" w:color="auto" w:fill="DAF3EA"/>
            <w:noWrap/>
            <w:vAlign w:val="center"/>
            <w:hideMark/>
          </w:tcPr>
          <w:p w14:paraId="0F2712F9" w14:textId="3BDBA409" w:rsidR="0033440C" w:rsidRPr="002138C0" w:rsidRDefault="0033440C" w:rsidP="0033440C">
            <w:pPr>
              <w:overflowPunct/>
              <w:autoSpaceDE/>
              <w:autoSpaceDN/>
              <w:adjustRightInd/>
              <w:jc w:val="center"/>
              <w:textAlignment w:val="auto"/>
              <w:rPr>
                <w:rFonts w:ascii="Calibri Light" w:hAnsi="Calibri Light" w:cs="Calibri Light"/>
                <w:color w:val="000000"/>
                <w:sz w:val="22"/>
                <w:szCs w:val="22"/>
                <w:highlight w:val="yellow"/>
              </w:rPr>
            </w:pPr>
            <w:r>
              <w:rPr>
                <w:rFonts w:ascii="Calibri Light" w:hAnsi="Calibri Light" w:cs="Calibri Light"/>
                <w:color w:val="000000"/>
                <w:sz w:val="22"/>
                <w:szCs w:val="22"/>
              </w:rPr>
              <w:t>31 490</w:t>
            </w:r>
          </w:p>
        </w:tc>
        <w:tc>
          <w:tcPr>
            <w:tcW w:w="955" w:type="dxa"/>
            <w:tcBorders>
              <w:top w:val="nil"/>
              <w:left w:val="nil"/>
              <w:bottom w:val="nil"/>
              <w:right w:val="nil"/>
            </w:tcBorders>
            <w:shd w:val="clear" w:color="000000" w:fill="FFFFFF" w:themeFill="background1"/>
            <w:noWrap/>
            <w:vAlign w:val="center"/>
            <w:hideMark/>
          </w:tcPr>
          <w:p w14:paraId="690F9892" w14:textId="0FAC3F54" w:rsidR="0033440C" w:rsidRPr="002138C0" w:rsidRDefault="0033440C" w:rsidP="0033440C">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32 150</w:t>
            </w:r>
          </w:p>
        </w:tc>
        <w:tc>
          <w:tcPr>
            <w:tcW w:w="955" w:type="dxa"/>
            <w:tcBorders>
              <w:top w:val="nil"/>
              <w:left w:val="nil"/>
              <w:bottom w:val="nil"/>
              <w:right w:val="nil"/>
            </w:tcBorders>
            <w:shd w:val="clear" w:color="auto" w:fill="auto"/>
            <w:noWrap/>
            <w:vAlign w:val="center"/>
            <w:hideMark/>
          </w:tcPr>
          <w:p w14:paraId="165D0922" w14:textId="2E8E5739" w:rsidR="0033440C" w:rsidRPr="002138C0" w:rsidRDefault="0033440C" w:rsidP="0033440C">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34 310</w:t>
            </w:r>
          </w:p>
        </w:tc>
      </w:tr>
      <w:tr w:rsidR="0033440C" w:rsidRPr="002138C0" w14:paraId="4A78BEF2" w14:textId="77777777" w:rsidTr="00B3483B">
        <w:trPr>
          <w:trHeight w:val="300"/>
        </w:trPr>
        <w:tc>
          <w:tcPr>
            <w:tcW w:w="3828" w:type="dxa"/>
            <w:tcBorders>
              <w:top w:val="nil"/>
              <w:left w:val="nil"/>
              <w:bottom w:val="nil"/>
              <w:right w:val="nil"/>
            </w:tcBorders>
            <w:shd w:val="clear" w:color="auto" w:fill="auto"/>
            <w:noWrap/>
            <w:vAlign w:val="bottom"/>
            <w:hideMark/>
          </w:tcPr>
          <w:p w14:paraId="0EAF3610" w14:textId="77777777" w:rsidR="0033440C" w:rsidRPr="00F23602" w:rsidRDefault="0033440C" w:rsidP="0033440C">
            <w:pPr>
              <w:overflowPunct/>
              <w:autoSpaceDE/>
              <w:autoSpaceDN/>
              <w:adjustRightInd/>
              <w:jc w:val="center"/>
              <w:textAlignment w:val="auto"/>
              <w:rPr>
                <w:rFonts w:ascii="Calibri Light" w:hAnsi="Calibri Light" w:cs="Calibri Light"/>
                <w:color w:val="000000"/>
                <w:sz w:val="22"/>
                <w:szCs w:val="22"/>
              </w:rPr>
            </w:pPr>
          </w:p>
        </w:tc>
        <w:tc>
          <w:tcPr>
            <w:tcW w:w="648" w:type="dxa"/>
            <w:tcBorders>
              <w:top w:val="nil"/>
              <w:left w:val="nil"/>
              <w:bottom w:val="nil"/>
              <w:right w:val="single" w:sz="4" w:space="0" w:color="auto"/>
            </w:tcBorders>
            <w:shd w:val="clear" w:color="auto" w:fill="auto"/>
            <w:noWrap/>
            <w:vAlign w:val="bottom"/>
            <w:hideMark/>
          </w:tcPr>
          <w:p w14:paraId="72B9CE37" w14:textId="3D5EADF1" w:rsidR="0033440C" w:rsidRPr="00F23602" w:rsidRDefault="0033440C" w:rsidP="0033440C">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20</w:t>
            </w:r>
          </w:p>
        </w:tc>
        <w:tc>
          <w:tcPr>
            <w:tcW w:w="955" w:type="dxa"/>
            <w:tcBorders>
              <w:top w:val="nil"/>
              <w:left w:val="single" w:sz="4" w:space="0" w:color="auto"/>
              <w:bottom w:val="nil"/>
              <w:right w:val="nil"/>
            </w:tcBorders>
            <w:shd w:val="clear" w:color="auto" w:fill="auto"/>
            <w:noWrap/>
            <w:vAlign w:val="center"/>
            <w:hideMark/>
          </w:tcPr>
          <w:p w14:paraId="5D28FBFB" w14:textId="284CD71B" w:rsidR="0033440C" w:rsidRPr="00F23602" w:rsidRDefault="0033440C" w:rsidP="0033440C">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20 570</w:t>
            </w:r>
          </w:p>
        </w:tc>
        <w:tc>
          <w:tcPr>
            <w:tcW w:w="955" w:type="dxa"/>
            <w:tcBorders>
              <w:top w:val="nil"/>
              <w:left w:val="nil"/>
              <w:bottom w:val="nil"/>
              <w:right w:val="nil"/>
            </w:tcBorders>
            <w:shd w:val="clear" w:color="auto" w:fill="auto"/>
            <w:noWrap/>
            <w:vAlign w:val="center"/>
            <w:hideMark/>
          </w:tcPr>
          <w:p w14:paraId="0857AA86" w14:textId="3987BB4A" w:rsidR="0033440C" w:rsidRPr="00F23602" w:rsidRDefault="0033440C" w:rsidP="0033440C">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22 550</w:t>
            </w:r>
          </w:p>
        </w:tc>
        <w:tc>
          <w:tcPr>
            <w:tcW w:w="955" w:type="dxa"/>
            <w:tcBorders>
              <w:top w:val="nil"/>
              <w:left w:val="nil"/>
              <w:bottom w:val="nil"/>
              <w:right w:val="nil"/>
            </w:tcBorders>
            <w:shd w:val="clear" w:color="auto" w:fill="auto"/>
            <w:noWrap/>
            <w:vAlign w:val="center"/>
            <w:hideMark/>
          </w:tcPr>
          <w:p w14:paraId="26357E18" w14:textId="6483603E" w:rsidR="0033440C" w:rsidRPr="00F23602" w:rsidRDefault="0033440C" w:rsidP="0033440C">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24 640</w:t>
            </w:r>
          </w:p>
        </w:tc>
        <w:tc>
          <w:tcPr>
            <w:tcW w:w="955" w:type="dxa"/>
            <w:tcBorders>
              <w:top w:val="nil"/>
              <w:left w:val="nil"/>
              <w:bottom w:val="nil"/>
              <w:right w:val="nil"/>
            </w:tcBorders>
            <w:shd w:val="clear" w:color="auto" w:fill="DAF3EA"/>
            <w:noWrap/>
            <w:vAlign w:val="center"/>
            <w:hideMark/>
          </w:tcPr>
          <w:p w14:paraId="6D332706" w14:textId="45E8A56C" w:rsidR="0033440C" w:rsidRPr="002138C0" w:rsidRDefault="0033440C" w:rsidP="0033440C">
            <w:pPr>
              <w:overflowPunct/>
              <w:autoSpaceDE/>
              <w:autoSpaceDN/>
              <w:adjustRightInd/>
              <w:jc w:val="center"/>
              <w:textAlignment w:val="auto"/>
              <w:rPr>
                <w:rFonts w:ascii="Calibri Light" w:hAnsi="Calibri Light" w:cs="Calibri Light"/>
                <w:color w:val="000000"/>
                <w:sz w:val="22"/>
                <w:szCs w:val="22"/>
                <w:highlight w:val="yellow"/>
              </w:rPr>
            </w:pPr>
            <w:r>
              <w:rPr>
                <w:rFonts w:ascii="Calibri Light" w:hAnsi="Calibri Light" w:cs="Calibri Light"/>
                <w:color w:val="000000"/>
                <w:sz w:val="22"/>
                <w:szCs w:val="22"/>
              </w:rPr>
              <w:t>26 130</w:t>
            </w:r>
          </w:p>
        </w:tc>
        <w:tc>
          <w:tcPr>
            <w:tcW w:w="955" w:type="dxa"/>
            <w:tcBorders>
              <w:top w:val="nil"/>
              <w:left w:val="nil"/>
              <w:bottom w:val="nil"/>
              <w:right w:val="nil"/>
            </w:tcBorders>
            <w:shd w:val="clear" w:color="000000" w:fill="FFFFFF" w:themeFill="background1"/>
            <w:noWrap/>
            <w:vAlign w:val="center"/>
            <w:hideMark/>
          </w:tcPr>
          <w:p w14:paraId="5E6CF5E2" w14:textId="0283D290" w:rsidR="0033440C" w:rsidRPr="002138C0" w:rsidRDefault="0033440C" w:rsidP="0033440C">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26 830</w:t>
            </w:r>
          </w:p>
        </w:tc>
        <w:tc>
          <w:tcPr>
            <w:tcW w:w="955" w:type="dxa"/>
            <w:tcBorders>
              <w:top w:val="nil"/>
              <w:left w:val="nil"/>
              <w:bottom w:val="nil"/>
              <w:right w:val="nil"/>
            </w:tcBorders>
            <w:shd w:val="clear" w:color="auto" w:fill="auto"/>
            <w:noWrap/>
            <w:vAlign w:val="center"/>
            <w:hideMark/>
          </w:tcPr>
          <w:p w14:paraId="1521BDBD" w14:textId="0822B382" w:rsidR="0033440C" w:rsidRPr="002138C0" w:rsidRDefault="0033440C" w:rsidP="0033440C">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29 130</w:t>
            </w:r>
          </w:p>
        </w:tc>
      </w:tr>
      <w:tr w:rsidR="0033440C" w:rsidRPr="002138C0" w14:paraId="6CF32913" w14:textId="77777777" w:rsidTr="00B3483B">
        <w:trPr>
          <w:trHeight w:val="300"/>
        </w:trPr>
        <w:tc>
          <w:tcPr>
            <w:tcW w:w="3828" w:type="dxa"/>
            <w:tcBorders>
              <w:top w:val="nil"/>
              <w:left w:val="nil"/>
              <w:bottom w:val="nil"/>
              <w:right w:val="nil"/>
            </w:tcBorders>
            <w:shd w:val="clear" w:color="auto" w:fill="auto"/>
            <w:noWrap/>
            <w:vAlign w:val="bottom"/>
            <w:hideMark/>
          </w:tcPr>
          <w:p w14:paraId="1542281A" w14:textId="77777777" w:rsidR="0033440C" w:rsidRPr="00F23602" w:rsidRDefault="0033440C" w:rsidP="0033440C">
            <w:pPr>
              <w:overflowPunct/>
              <w:autoSpaceDE/>
              <w:autoSpaceDN/>
              <w:adjustRightInd/>
              <w:jc w:val="center"/>
              <w:textAlignment w:val="auto"/>
              <w:rPr>
                <w:rFonts w:ascii="Calibri Light" w:hAnsi="Calibri Light" w:cs="Calibri Light"/>
                <w:color w:val="000000"/>
                <w:sz w:val="22"/>
                <w:szCs w:val="22"/>
              </w:rPr>
            </w:pPr>
          </w:p>
        </w:tc>
        <w:tc>
          <w:tcPr>
            <w:tcW w:w="648" w:type="dxa"/>
            <w:tcBorders>
              <w:top w:val="nil"/>
              <w:left w:val="nil"/>
              <w:bottom w:val="nil"/>
              <w:right w:val="single" w:sz="4" w:space="0" w:color="auto"/>
            </w:tcBorders>
            <w:shd w:val="clear" w:color="auto" w:fill="auto"/>
            <w:noWrap/>
            <w:vAlign w:val="bottom"/>
            <w:hideMark/>
          </w:tcPr>
          <w:p w14:paraId="26092D49" w14:textId="4B33D07E" w:rsidR="0033440C" w:rsidRPr="00F23602" w:rsidRDefault="0033440C" w:rsidP="0033440C">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25</w:t>
            </w:r>
          </w:p>
        </w:tc>
        <w:tc>
          <w:tcPr>
            <w:tcW w:w="955" w:type="dxa"/>
            <w:tcBorders>
              <w:top w:val="nil"/>
              <w:left w:val="single" w:sz="4" w:space="0" w:color="auto"/>
              <w:bottom w:val="nil"/>
              <w:right w:val="nil"/>
            </w:tcBorders>
            <w:shd w:val="clear" w:color="auto" w:fill="auto"/>
            <w:noWrap/>
            <w:vAlign w:val="center"/>
            <w:hideMark/>
          </w:tcPr>
          <w:p w14:paraId="491B1A11" w14:textId="4A2376CC" w:rsidR="0033440C" w:rsidRPr="00F23602" w:rsidRDefault="0033440C" w:rsidP="0033440C">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17 230</w:t>
            </w:r>
          </w:p>
        </w:tc>
        <w:tc>
          <w:tcPr>
            <w:tcW w:w="955" w:type="dxa"/>
            <w:tcBorders>
              <w:top w:val="nil"/>
              <w:left w:val="nil"/>
              <w:bottom w:val="nil"/>
              <w:right w:val="nil"/>
            </w:tcBorders>
            <w:shd w:val="clear" w:color="auto" w:fill="auto"/>
            <w:noWrap/>
            <w:vAlign w:val="center"/>
            <w:hideMark/>
          </w:tcPr>
          <w:p w14:paraId="2FC3E222" w14:textId="5941E749" w:rsidR="0033440C" w:rsidRPr="00F23602" w:rsidRDefault="0033440C" w:rsidP="0033440C">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19 280</w:t>
            </w:r>
          </w:p>
        </w:tc>
        <w:tc>
          <w:tcPr>
            <w:tcW w:w="955" w:type="dxa"/>
            <w:tcBorders>
              <w:top w:val="nil"/>
              <w:left w:val="nil"/>
              <w:bottom w:val="nil"/>
              <w:right w:val="nil"/>
            </w:tcBorders>
            <w:shd w:val="clear" w:color="auto" w:fill="auto"/>
            <w:noWrap/>
            <w:vAlign w:val="center"/>
            <w:hideMark/>
          </w:tcPr>
          <w:p w14:paraId="08C6F1AB" w14:textId="11772B6A" w:rsidR="0033440C" w:rsidRPr="00F23602" w:rsidRDefault="0033440C" w:rsidP="0033440C">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21 460</w:t>
            </w:r>
          </w:p>
        </w:tc>
        <w:tc>
          <w:tcPr>
            <w:tcW w:w="955" w:type="dxa"/>
            <w:tcBorders>
              <w:top w:val="nil"/>
              <w:left w:val="nil"/>
              <w:bottom w:val="nil"/>
              <w:right w:val="nil"/>
            </w:tcBorders>
            <w:shd w:val="clear" w:color="auto" w:fill="DAF3EA"/>
            <w:noWrap/>
            <w:vAlign w:val="center"/>
            <w:hideMark/>
          </w:tcPr>
          <w:p w14:paraId="5331F341" w14:textId="79C3108D" w:rsidR="0033440C" w:rsidRPr="002138C0" w:rsidRDefault="0033440C" w:rsidP="0033440C">
            <w:pPr>
              <w:overflowPunct/>
              <w:autoSpaceDE/>
              <w:autoSpaceDN/>
              <w:adjustRightInd/>
              <w:jc w:val="center"/>
              <w:textAlignment w:val="auto"/>
              <w:rPr>
                <w:rFonts w:ascii="Calibri Light" w:hAnsi="Calibri Light" w:cs="Calibri Light"/>
                <w:color w:val="000000"/>
                <w:sz w:val="22"/>
                <w:szCs w:val="22"/>
                <w:highlight w:val="yellow"/>
              </w:rPr>
            </w:pPr>
            <w:r>
              <w:rPr>
                <w:rFonts w:ascii="Calibri Light" w:hAnsi="Calibri Light" w:cs="Calibri Light"/>
                <w:color w:val="000000"/>
                <w:sz w:val="22"/>
                <w:szCs w:val="22"/>
              </w:rPr>
              <w:t>23 030</w:t>
            </w:r>
          </w:p>
        </w:tc>
        <w:tc>
          <w:tcPr>
            <w:tcW w:w="955" w:type="dxa"/>
            <w:tcBorders>
              <w:top w:val="nil"/>
              <w:left w:val="nil"/>
              <w:bottom w:val="nil"/>
              <w:right w:val="nil"/>
            </w:tcBorders>
            <w:shd w:val="clear" w:color="000000" w:fill="FFFFFF" w:themeFill="background1"/>
            <w:noWrap/>
            <w:vAlign w:val="center"/>
            <w:hideMark/>
          </w:tcPr>
          <w:p w14:paraId="3E4DDF0D" w14:textId="132D221C" w:rsidR="0033440C" w:rsidRPr="002138C0" w:rsidRDefault="0033440C" w:rsidP="0033440C">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23 770</w:t>
            </w:r>
          </w:p>
        </w:tc>
        <w:tc>
          <w:tcPr>
            <w:tcW w:w="955" w:type="dxa"/>
            <w:tcBorders>
              <w:top w:val="nil"/>
              <w:left w:val="nil"/>
              <w:bottom w:val="nil"/>
              <w:right w:val="nil"/>
            </w:tcBorders>
            <w:shd w:val="clear" w:color="auto" w:fill="auto"/>
            <w:noWrap/>
            <w:vAlign w:val="center"/>
            <w:hideMark/>
          </w:tcPr>
          <w:p w14:paraId="4C72D8C7" w14:textId="33969509" w:rsidR="0033440C" w:rsidRPr="002138C0" w:rsidRDefault="0033440C" w:rsidP="0033440C">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26 200</w:t>
            </w:r>
          </w:p>
        </w:tc>
      </w:tr>
      <w:tr w:rsidR="0033440C" w:rsidRPr="002138C0" w14:paraId="2841560E" w14:textId="77777777" w:rsidTr="00B3483B">
        <w:trPr>
          <w:trHeight w:val="300"/>
        </w:trPr>
        <w:tc>
          <w:tcPr>
            <w:tcW w:w="3828" w:type="dxa"/>
            <w:tcBorders>
              <w:top w:val="nil"/>
              <w:left w:val="nil"/>
              <w:bottom w:val="nil"/>
              <w:right w:val="nil"/>
            </w:tcBorders>
            <w:shd w:val="clear" w:color="auto" w:fill="auto"/>
            <w:noWrap/>
            <w:vAlign w:val="bottom"/>
          </w:tcPr>
          <w:p w14:paraId="0BC465CE" w14:textId="77777777" w:rsidR="0033440C" w:rsidRPr="00F23602" w:rsidRDefault="0033440C" w:rsidP="0033440C">
            <w:pPr>
              <w:overflowPunct/>
              <w:autoSpaceDE/>
              <w:autoSpaceDN/>
              <w:adjustRightInd/>
              <w:jc w:val="center"/>
              <w:textAlignment w:val="auto"/>
              <w:rPr>
                <w:rFonts w:ascii="Calibri Light" w:hAnsi="Calibri Light" w:cs="Calibri Light"/>
                <w:color w:val="000000"/>
                <w:sz w:val="22"/>
                <w:szCs w:val="22"/>
              </w:rPr>
            </w:pPr>
          </w:p>
        </w:tc>
        <w:tc>
          <w:tcPr>
            <w:tcW w:w="648" w:type="dxa"/>
            <w:tcBorders>
              <w:top w:val="nil"/>
              <w:left w:val="nil"/>
              <w:bottom w:val="nil"/>
              <w:right w:val="single" w:sz="4" w:space="0" w:color="auto"/>
            </w:tcBorders>
            <w:shd w:val="clear" w:color="auto" w:fill="DAF3EA"/>
            <w:noWrap/>
            <w:vAlign w:val="center"/>
          </w:tcPr>
          <w:p w14:paraId="088256B9" w14:textId="7B52E734" w:rsidR="0033440C" w:rsidRPr="00F23602" w:rsidRDefault="0033440C" w:rsidP="0033440C">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b/>
                <w:bCs/>
                <w:color w:val="000000"/>
                <w:sz w:val="22"/>
                <w:szCs w:val="22"/>
              </w:rPr>
              <w:t>26,5</w:t>
            </w:r>
          </w:p>
        </w:tc>
        <w:tc>
          <w:tcPr>
            <w:tcW w:w="955" w:type="dxa"/>
            <w:tcBorders>
              <w:top w:val="nil"/>
              <w:left w:val="single" w:sz="4" w:space="0" w:color="auto"/>
              <w:bottom w:val="nil"/>
              <w:right w:val="nil"/>
            </w:tcBorders>
            <w:shd w:val="clear" w:color="auto" w:fill="DAF3EA"/>
            <w:noWrap/>
            <w:vAlign w:val="center"/>
          </w:tcPr>
          <w:p w14:paraId="0B45A43E" w14:textId="5FE58BED" w:rsidR="0033440C" w:rsidRDefault="0033440C" w:rsidP="0033440C">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16 470</w:t>
            </w:r>
          </w:p>
        </w:tc>
        <w:tc>
          <w:tcPr>
            <w:tcW w:w="955" w:type="dxa"/>
            <w:tcBorders>
              <w:top w:val="nil"/>
              <w:left w:val="nil"/>
              <w:bottom w:val="nil"/>
              <w:right w:val="nil"/>
            </w:tcBorders>
            <w:shd w:val="clear" w:color="auto" w:fill="DAF3EA"/>
            <w:noWrap/>
            <w:vAlign w:val="center"/>
          </w:tcPr>
          <w:p w14:paraId="09BA985F" w14:textId="212D5794" w:rsidR="0033440C" w:rsidRDefault="0033440C" w:rsidP="0033440C">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18 540</w:t>
            </w:r>
          </w:p>
        </w:tc>
        <w:tc>
          <w:tcPr>
            <w:tcW w:w="955" w:type="dxa"/>
            <w:tcBorders>
              <w:top w:val="nil"/>
              <w:left w:val="nil"/>
              <w:bottom w:val="nil"/>
              <w:right w:val="nil"/>
            </w:tcBorders>
            <w:shd w:val="clear" w:color="auto" w:fill="DAF3EA"/>
            <w:noWrap/>
            <w:vAlign w:val="center"/>
          </w:tcPr>
          <w:p w14:paraId="567430AE" w14:textId="14637808" w:rsidR="0033440C" w:rsidRDefault="0033440C" w:rsidP="0033440C">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20 750</w:t>
            </w:r>
          </w:p>
        </w:tc>
        <w:tc>
          <w:tcPr>
            <w:tcW w:w="955" w:type="dxa"/>
            <w:tcBorders>
              <w:top w:val="nil"/>
              <w:left w:val="nil"/>
              <w:bottom w:val="nil"/>
              <w:right w:val="nil"/>
            </w:tcBorders>
            <w:shd w:val="clear" w:color="auto" w:fill="DAF3EA"/>
            <w:noWrap/>
            <w:vAlign w:val="center"/>
          </w:tcPr>
          <w:p w14:paraId="427C5795" w14:textId="7C364227" w:rsidR="0033440C" w:rsidRDefault="0033440C" w:rsidP="0033440C">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b/>
                <w:bCs/>
                <w:color w:val="000000"/>
                <w:sz w:val="22"/>
                <w:szCs w:val="22"/>
              </w:rPr>
              <w:t>22 330</w:t>
            </w:r>
          </w:p>
        </w:tc>
        <w:tc>
          <w:tcPr>
            <w:tcW w:w="955" w:type="dxa"/>
            <w:tcBorders>
              <w:top w:val="nil"/>
              <w:left w:val="nil"/>
              <w:bottom w:val="nil"/>
              <w:right w:val="nil"/>
            </w:tcBorders>
            <w:shd w:val="clear" w:color="auto" w:fill="DAF3EA"/>
            <w:noWrap/>
            <w:vAlign w:val="center"/>
          </w:tcPr>
          <w:p w14:paraId="3738B6D6" w14:textId="11402DB6" w:rsidR="0033440C" w:rsidRDefault="0033440C" w:rsidP="0033440C">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23 090</w:t>
            </w:r>
          </w:p>
        </w:tc>
        <w:tc>
          <w:tcPr>
            <w:tcW w:w="955" w:type="dxa"/>
            <w:tcBorders>
              <w:top w:val="nil"/>
              <w:left w:val="nil"/>
              <w:bottom w:val="nil"/>
              <w:right w:val="nil"/>
            </w:tcBorders>
            <w:shd w:val="clear" w:color="auto" w:fill="DAF3EA"/>
            <w:noWrap/>
            <w:vAlign w:val="center"/>
          </w:tcPr>
          <w:p w14:paraId="15CB0311" w14:textId="68E1EFE1" w:rsidR="0033440C" w:rsidRDefault="0033440C" w:rsidP="0033440C">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25 560</w:t>
            </w:r>
          </w:p>
        </w:tc>
      </w:tr>
      <w:tr w:rsidR="0033440C" w:rsidRPr="002138C0" w14:paraId="46B86678" w14:textId="77777777" w:rsidTr="00B3483B">
        <w:trPr>
          <w:trHeight w:val="300"/>
        </w:trPr>
        <w:tc>
          <w:tcPr>
            <w:tcW w:w="3828" w:type="dxa"/>
            <w:tcBorders>
              <w:top w:val="nil"/>
              <w:left w:val="nil"/>
              <w:bottom w:val="single" w:sz="4" w:space="0" w:color="auto"/>
              <w:right w:val="nil"/>
            </w:tcBorders>
            <w:shd w:val="clear" w:color="auto" w:fill="auto"/>
            <w:noWrap/>
            <w:vAlign w:val="bottom"/>
            <w:hideMark/>
          </w:tcPr>
          <w:p w14:paraId="477BB57D" w14:textId="77777777" w:rsidR="0033440C" w:rsidRPr="00F23602" w:rsidRDefault="0033440C" w:rsidP="0033440C">
            <w:pPr>
              <w:overflowPunct/>
              <w:autoSpaceDE/>
              <w:autoSpaceDN/>
              <w:adjustRightInd/>
              <w:jc w:val="left"/>
              <w:textAlignment w:val="auto"/>
              <w:rPr>
                <w:rFonts w:ascii="Calibri Light" w:hAnsi="Calibri Light" w:cs="Calibri Light"/>
                <w:color w:val="000000"/>
                <w:sz w:val="22"/>
                <w:szCs w:val="22"/>
              </w:rPr>
            </w:pPr>
            <w:r w:rsidRPr="00F23602">
              <w:rPr>
                <w:rFonts w:ascii="Calibri Light" w:hAnsi="Calibri Light" w:cs="Calibri Light"/>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center"/>
            <w:hideMark/>
          </w:tcPr>
          <w:p w14:paraId="6FEE525A" w14:textId="289621B9" w:rsidR="0033440C" w:rsidRPr="00F23602" w:rsidRDefault="0033440C" w:rsidP="0033440C">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30</w:t>
            </w:r>
          </w:p>
        </w:tc>
        <w:tc>
          <w:tcPr>
            <w:tcW w:w="955" w:type="dxa"/>
            <w:tcBorders>
              <w:top w:val="nil"/>
              <w:left w:val="single" w:sz="4" w:space="0" w:color="auto"/>
              <w:bottom w:val="single" w:sz="4" w:space="0" w:color="auto"/>
              <w:right w:val="nil"/>
            </w:tcBorders>
            <w:shd w:val="clear" w:color="auto" w:fill="auto"/>
            <w:noWrap/>
            <w:vAlign w:val="center"/>
            <w:hideMark/>
          </w:tcPr>
          <w:p w14:paraId="24DA2DA6" w14:textId="5D8DA660" w:rsidR="0033440C" w:rsidRPr="00F23602" w:rsidRDefault="0033440C" w:rsidP="0033440C">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15 030</w:t>
            </w:r>
          </w:p>
        </w:tc>
        <w:tc>
          <w:tcPr>
            <w:tcW w:w="955" w:type="dxa"/>
            <w:tcBorders>
              <w:top w:val="nil"/>
              <w:left w:val="nil"/>
              <w:bottom w:val="single" w:sz="4" w:space="0" w:color="auto"/>
              <w:right w:val="nil"/>
            </w:tcBorders>
            <w:shd w:val="clear" w:color="auto" w:fill="auto"/>
            <w:noWrap/>
            <w:vAlign w:val="center"/>
            <w:hideMark/>
          </w:tcPr>
          <w:p w14:paraId="611602F5" w14:textId="618676F8" w:rsidR="0033440C" w:rsidRPr="00F23602" w:rsidRDefault="0033440C" w:rsidP="0033440C">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17 140</w:t>
            </w:r>
          </w:p>
        </w:tc>
        <w:tc>
          <w:tcPr>
            <w:tcW w:w="955" w:type="dxa"/>
            <w:tcBorders>
              <w:top w:val="nil"/>
              <w:left w:val="nil"/>
              <w:bottom w:val="single" w:sz="4" w:space="0" w:color="auto"/>
              <w:right w:val="nil"/>
            </w:tcBorders>
            <w:shd w:val="clear" w:color="auto" w:fill="auto"/>
            <w:noWrap/>
            <w:vAlign w:val="center"/>
            <w:hideMark/>
          </w:tcPr>
          <w:p w14:paraId="247C600D" w14:textId="4C922792" w:rsidR="0033440C" w:rsidRPr="00F23602" w:rsidRDefault="0033440C" w:rsidP="0033440C">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19 410</w:t>
            </w:r>
          </w:p>
        </w:tc>
        <w:tc>
          <w:tcPr>
            <w:tcW w:w="955" w:type="dxa"/>
            <w:tcBorders>
              <w:top w:val="nil"/>
              <w:left w:val="nil"/>
              <w:bottom w:val="single" w:sz="4" w:space="0" w:color="auto"/>
              <w:right w:val="nil"/>
            </w:tcBorders>
            <w:shd w:val="clear" w:color="auto" w:fill="DAF3EA"/>
            <w:noWrap/>
            <w:vAlign w:val="center"/>
            <w:hideMark/>
          </w:tcPr>
          <w:p w14:paraId="527D8D8A" w14:textId="3DA032A7" w:rsidR="0033440C" w:rsidRPr="002138C0" w:rsidRDefault="0033440C" w:rsidP="0033440C">
            <w:pPr>
              <w:overflowPunct/>
              <w:autoSpaceDE/>
              <w:autoSpaceDN/>
              <w:adjustRightInd/>
              <w:jc w:val="center"/>
              <w:textAlignment w:val="auto"/>
              <w:rPr>
                <w:rFonts w:ascii="Calibri Light" w:hAnsi="Calibri Light" w:cs="Calibri Light"/>
                <w:color w:val="000000"/>
                <w:sz w:val="22"/>
                <w:szCs w:val="22"/>
                <w:highlight w:val="yellow"/>
              </w:rPr>
            </w:pPr>
            <w:r>
              <w:rPr>
                <w:rFonts w:ascii="Calibri Light" w:hAnsi="Calibri Light" w:cs="Calibri Light"/>
                <w:color w:val="000000"/>
                <w:sz w:val="22"/>
                <w:szCs w:val="22"/>
              </w:rPr>
              <w:t>21 050</w:t>
            </w:r>
          </w:p>
        </w:tc>
        <w:tc>
          <w:tcPr>
            <w:tcW w:w="955" w:type="dxa"/>
            <w:tcBorders>
              <w:top w:val="nil"/>
              <w:left w:val="nil"/>
              <w:bottom w:val="single" w:sz="4" w:space="0" w:color="auto"/>
              <w:right w:val="nil"/>
            </w:tcBorders>
            <w:shd w:val="clear" w:color="000000" w:fill="FFFFFF" w:themeFill="background1"/>
            <w:noWrap/>
            <w:vAlign w:val="center"/>
            <w:hideMark/>
          </w:tcPr>
          <w:p w14:paraId="35ABD787" w14:textId="0A334D2A" w:rsidR="0033440C" w:rsidRPr="002138C0" w:rsidRDefault="0033440C" w:rsidP="0033440C">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21 830</w:t>
            </w:r>
          </w:p>
        </w:tc>
        <w:tc>
          <w:tcPr>
            <w:tcW w:w="955" w:type="dxa"/>
            <w:tcBorders>
              <w:top w:val="nil"/>
              <w:left w:val="nil"/>
              <w:bottom w:val="single" w:sz="4" w:space="0" w:color="auto"/>
              <w:right w:val="nil"/>
            </w:tcBorders>
            <w:shd w:val="clear" w:color="auto" w:fill="auto"/>
            <w:noWrap/>
            <w:vAlign w:val="center"/>
            <w:hideMark/>
          </w:tcPr>
          <w:p w14:paraId="1C781B34" w14:textId="189BB0B2" w:rsidR="0033440C" w:rsidRPr="002138C0" w:rsidRDefault="0033440C" w:rsidP="0033440C">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24 380</w:t>
            </w:r>
          </w:p>
        </w:tc>
      </w:tr>
      <w:tr w:rsidR="00D5517C" w:rsidRPr="002138C0" w14:paraId="58395EC8" w14:textId="77777777" w:rsidTr="00EB1892">
        <w:trPr>
          <w:trHeight w:val="300"/>
        </w:trPr>
        <w:tc>
          <w:tcPr>
            <w:tcW w:w="3828" w:type="dxa"/>
            <w:tcBorders>
              <w:top w:val="nil"/>
              <w:left w:val="nil"/>
              <w:bottom w:val="nil"/>
              <w:right w:val="nil"/>
            </w:tcBorders>
            <w:shd w:val="clear" w:color="auto" w:fill="auto"/>
            <w:noWrap/>
            <w:vAlign w:val="bottom"/>
            <w:hideMark/>
          </w:tcPr>
          <w:p w14:paraId="2B3FD57F" w14:textId="5396F87E" w:rsidR="00D5517C" w:rsidRPr="00AA62A7" w:rsidRDefault="00D5517C" w:rsidP="00D5517C">
            <w:pPr>
              <w:overflowPunct/>
              <w:autoSpaceDE/>
              <w:autoSpaceDN/>
              <w:adjustRightInd/>
              <w:jc w:val="left"/>
              <w:textAlignment w:val="auto"/>
              <w:rPr>
                <w:rFonts w:asciiTheme="minorHAnsi" w:hAnsiTheme="minorHAnsi" w:cstheme="minorHAnsi"/>
                <w:color w:val="13576B"/>
                <w:sz w:val="20"/>
              </w:rPr>
            </w:pPr>
            <w:r w:rsidRPr="00AA62A7">
              <w:rPr>
                <w:rFonts w:asciiTheme="minorHAnsi" w:hAnsiTheme="minorHAnsi" w:cstheme="minorHAnsi"/>
                <w:color w:val="2F5496" w:themeColor="accent5" w:themeShade="BF"/>
                <w:sz w:val="20"/>
              </w:rPr>
              <w:t>Pramen</w:t>
            </w:r>
            <w:r w:rsidRPr="00AA62A7">
              <w:rPr>
                <w:rFonts w:asciiTheme="minorHAnsi" w:hAnsiTheme="minorHAnsi" w:cstheme="minorHAnsi"/>
                <w:color w:val="13576B"/>
                <w:sz w:val="20"/>
              </w:rPr>
              <w:t>: ČBA</w:t>
            </w:r>
            <w:r w:rsidR="00952AEF" w:rsidRPr="00AA62A7">
              <w:rPr>
                <w:rFonts w:asciiTheme="minorHAnsi" w:hAnsiTheme="minorHAnsi" w:cstheme="minorHAnsi"/>
                <w:color w:val="13576B"/>
                <w:sz w:val="20"/>
              </w:rPr>
              <w:t xml:space="preserve"> </w:t>
            </w:r>
            <w:r w:rsidR="00952AEF" w:rsidRPr="00AA62A7">
              <w:rPr>
                <w:rStyle w:val="Znakapoznpodarou"/>
                <w:rFonts w:asciiTheme="minorHAnsi" w:hAnsiTheme="minorHAnsi" w:cstheme="minorHAnsi"/>
                <w:color w:val="2F5496" w:themeColor="accent5" w:themeShade="BF"/>
                <w:sz w:val="20"/>
              </w:rPr>
              <w:footnoteReference w:id="2"/>
            </w:r>
          </w:p>
        </w:tc>
        <w:tc>
          <w:tcPr>
            <w:tcW w:w="648" w:type="dxa"/>
            <w:tcBorders>
              <w:top w:val="nil"/>
              <w:left w:val="nil"/>
              <w:bottom w:val="nil"/>
              <w:right w:val="nil"/>
            </w:tcBorders>
            <w:shd w:val="clear" w:color="auto" w:fill="auto"/>
            <w:noWrap/>
            <w:vAlign w:val="bottom"/>
            <w:hideMark/>
          </w:tcPr>
          <w:p w14:paraId="4AEE430D" w14:textId="77777777" w:rsidR="00D5517C" w:rsidRPr="00AA62A7" w:rsidRDefault="00D5517C" w:rsidP="00D5517C">
            <w:pPr>
              <w:overflowPunct/>
              <w:autoSpaceDE/>
              <w:autoSpaceDN/>
              <w:adjustRightInd/>
              <w:jc w:val="left"/>
              <w:textAlignment w:val="auto"/>
              <w:rPr>
                <w:rFonts w:asciiTheme="minorHAnsi" w:hAnsiTheme="minorHAnsi" w:cstheme="minorHAnsi"/>
                <w:color w:val="13576B"/>
                <w:sz w:val="22"/>
                <w:szCs w:val="22"/>
              </w:rPr>
            </w:pPr>
          </w:p>
        </w:tc>
        <w:tc>
          <w:tcPr>
            <w:tcW w:w="955" w:type="dxa"/>
            <w:tcBorders>
              <w:top w:val="nil"/>
              <w:left w:val="nil"/>
              <w:bottom w:val="nil"/>
              <w:right w:val="nil"/>
            </w:tcBorders>
            <w:shd w:val="clear" w:color="auto" w:fill="auto"/>
            <w:noWrap/>
            <w:vAlign w:val="bottom"/>
            <w:hideMark/>
          </w:tcPr>
          <w:p w14:paraId="318F225D" w14:textId="77777777" w:rsidR="00D5517C" w:rsidRPr="00AA62A7" w:rsidRDefault="00D5517C" w:rsidP="00D5517C">
            <w:pPr>
              <w:overflowPunct/>
              <w:autoSpaceDE/>
              <w:autoSpaceDN/>
              <w:adjustRightInd/>
              <w:jc w:val="left"/>
              <w:textAlignment w:val="auto"/>
              <w:rPr>
                <w:rFonts w:asciiTheme="minorHAnsi" w:hAnsiTheme="minorHAnsi" w:cstheme="minorHAnsi"/>
                <w:sz w:val="20"/>
              </w:rPr>
            </w:pPr>
          </w:p>
        </w:tc>
        <w:tc>
          <w:tcPr>
            <w:tcW w:w="955" w:type="dxa"/>
            <w:tcBorders>
              <w:top w:val="nil"/>
              <w:left w:val="nil"/>
              <w:bottom w:val="nil"/>
              <w:right w:val="nil"/>
            </w:tcBorders>
            <w:shd w:val="clear" w:color="auto" w:fill="auto"/>
            <w:noWrap/>
            <w:vAlign w:val="bottom"/>
            <w:hideMark/>
          </w:tcPr>
          <w:p w14:paraId="5B261F0D" w14:textId="77777777" w:rsidR="00D5517C" w:rsidRPr="00AA62A7" w:rsidRDefault="00D5517C" w:rsidP="00D5517C">
            <w:pPr>
              <w:overflowPunct/>
              <w:autoSpaceDE/>
              <w:autoSpaceDN/>
              <w:adjustRightInd/>
              <w:jc w:val="left"/>
              <w:textAlignment w:val="auto"/>
              <w:rPr>
                <w:rFonts w:asciiTheme="minorHAnsi" w:hAnsiTheme="minorHAnsi" w:cstheme="minorHAnsi"/>
                <w:sz w:val="20"/>
              </w:rPr>
            </w:pPr>
          </w:p>
        </w:tc>
        <w:tc>
          <w:tcPr>
            <w:tcW w:w="955" w:type="dxa"/>
            <w:tcBorders>
              <w:top w:val="nil"/>
              <w:left w:val="nil"/>
              <w:bottom w:val="nil"/>
              <w:right w:val="nil"/>
            </w:tcBorders>
            <w:shd w:val="clear" w:color="auto" w:fill="auto"/>
            <w:noWrap/>
            <w:vAlign w:val="bottom"/>
            <w:hideMark/>
          </w:tcPr>
          <w:p w14:paraId="60822AAF" w14:textId="77777777" w:rsidR="00D5517C" w:rsidRPr="00AA62A7" w:rsidRDefault="00D5517C" w:rsidP="00D5517C">
            <w:pPr>
              <w:overflowPunct/>
              <w:autoSpaceDE/>
              <w:autoSpaceDN/>
              <w:adjustRightInd/>
              <w:jc w:val="left"/>
              <w:textAlignment w:val="auto"/>
              <w:rPr>
                <w:rFonts w:asciiTheme="minorHAnsi" w:hAnsiTheme="minorHAnsi" w:cstheme="minorHAnsi"/>
                <w:sz w:val="20"/>
              </w:rPr>
            </w:pPr>
          </w:p>
        </w:tc>
        <w:tc>
          <w:tcPr>
            <w:tcW w:w="955" w:type="dxa"/>
            <w:tcBorders>
              <w:top w:val="nil"/>
              <w:left w:val="nil"/>
              <w:bottom w:val="nil"/>
              <w:right w:val="nil"/>
            </w:tcBorders>
            <w:shd w:val="clear" w:color="auto" w:fill="auto"/>
            <w:noWrap/>
            <w:vAlign w:val="bottom"/>
            <w:hideMark/>
          </w:tcPr>
          <w:p w14:paraId="7CAC6A2A" w14:textId="77777777" w:rsidR="00D5517C" w:rsidRPr="00AA62A7" w:rsidRDefault="00D5517C" w:rsidP="00483136">
            <w:pPr>
              <w:overflowPunct/>
              <w:autoSpaceDE/>
              <w:autoSpaceDN/>
              <w:adjustRightInd/>
              <w:jc w:val="center"/>
              <w:textAlignment w:val="auto"/>
              <w:rPr>
                <w:rFonts w:asciiTheme="minorHAnsi" w:hAnsiTheme="minorHAnsi" w:cstheme="minorHAnsi"/>
                <w:color w:val="000000"/>
                <w:sz w:val="22"/>
                <w:szCs w:val="22"/>
                <w:highlight w:val="yellow"/>
              </w:rPr>
            </w:pPr>
          </w:p>
        </w:tc>
        <w:tc>
          <w:tcPr>
            <w:tcW w:w="955" w:type="dxa"/>
            <w:tcBorders>
              <w:top w:val="nil"/>
              <w:left w:val="nil"/>
              <w:bottom w:val="nil"/>
              <w:right w:val="nil"/>
            </w:tcBorders>
            <w:shd w:val="clear" w:color="auto" w:fill="auto"/>
            <w:noWrap/>
            <w:vAlign w:val="bottom"/>
            <w:hideMark/>
          </w:tcPr>
          <w:p w14:paraId="7D71D15A" w14:textId="77777777" w:rsidR="00D5517C" w:rsidRPr="00AA62A7" w:rsidRDefault="00D5517C" w:rsidP="00D5517C">
            <w:pPr>
              <w:overflowPunct/>
              <w:autoSpaceDE/>
              <w:autoSpaceDN/>
              <w:adjustRightInd/>
              <w:jc w:val="left"/>
              <w:textAlignment w:val="auto"/>
              <w:rPr>
                <w:rFonts w:asciiTheme="minorHAnsi" w:hAnsiTheme="minorHAnsi" w:cstheme="minorHAnsi"/>
                <w:sz w:val="20"/>
                <w:highlight w:val="yellow"/>
              </w:rPr>
            </w:pPr>
          </w:p>
        </w:tc>
        <w:tc>
          <w:tcPr>
            <w:tcW w:w="955" w:type="dxa"/>
            <w:tcBorders>
              <w:top w:val="nil"/>
              <w:left w:val="nil"/>
              <w:bottom w:val="nil"/>
              <w:right w:val="nil"/>
            </w:tcBorders>
            <w:shd w:val="clear" w:color="auto" w:fill="auto"/>
            <w:noWrap/>
            <w:vAlign w:val="bottom"/>
            <w:hideMark/>
          </w:tcPr>
          <w:p w14:paraId="127972E4" w14:textId="77777777" w:rsidR="00D5517C" w:rsidRPr="00AA62A7" w:rsidRDefault="00D5517C" w:rsidP="00D5517C">
            <w:pPr>
              <w:overflowPunct/>
              <w:autoSpaceDE/>
              <w:autoSpaceDN/>
              <w:adjustRightInd/>
              <w:jc w:val="left"/>
              <w:textAlignment w:val="auto"/>
              <w:rPr>
                <w:rFonts w:asciiTheme="minorHAnsi" w:hAnsiTheme="minorHAnsi" w:cstheme="minorHAnsi"/>
                <w:sz w:val="20"/>
                <w:highlight w:val="yellow"/>
              </w:rPr>
            </w:pPr>
          </w:p>
        </w:tc>
      </w:tr>
      <w:tr w:rsidR="00D5517C" w:rsidRPr="002138C0" w14:paraId="17E5FF51" w14:textId="77777777" w:rsidTr="00EB1892">
        <w:trPr>
          <w:trHeight w:val="300"/>
        </w:trPr>
        <w:tc>
          <w:tcPr>
            <w:tcW w:w="10206" w:type="dxa"/>
            <w:gridSpan w:val="8"/>
            <w:tcBorders>
              <w:top w:val="nil"/>
              <w:left w:val="nil"/>
              <w:bottom w:val="nil"/>
              <w:right w:val="nil"/>
            </w:tcBorders>
            <w:shd w:val="clear" w:color="auto" w:fill="auto"/>
            <w:noWrap/>
            <w:vAlign w:val="bottom"/>
            <w:hideMark/>
          </w:tcPr>
          <w:p w14:paraId="2BF60336" w14:textId="02728D43" w:rsidR="00D5517C" w:rsidRPr="00AA62A7" w:rsidRDefault="00D5517C" w:rsidP="00D5517C">
            <w:pPr>
              <w:overflowPunct/>
              <w:autoSpaceDE/>
              <w:autoSpaceDN/>
              <w:adjustRightInd/>
              <w:jc w:val="left"/>
              <w:textAlignment w:val="auto"/>
              <w:rPr>
                <w:rFonts w:asciiTheme="minorHAnsi" w:hAnsiTheme="minorHAnsi" w:cstheme="minorHAnsi"/>
                <w:color w:val="13576B"/>
                <w:sz w:val="20"/>
              </w:rPr>
            </w:pPr>
            <w:r w:rsidRPr="00AA62A7">
              <w:rPr>
                <w:rFonts w:asciiTheme="minorHAnsi" w:hAnsiTheme="minorHAnsi" w:cstheme="minorHAnsi"/>
                <w:color w:val="13576B"/>
                <w:sz w:val="20"/>
              </w:rPr>
              <w:t>Pozn.: barevný sloupec odpovídá úrokové sazbě posledního ČBA Hypomonitoru, ostatní sazby jsou ilustrační</w:t>
            </w:r>
            <w:r w:rsidR="00EB1892" w:rsidRPr="00AA62A7">
              <w:rPr>
                <w:rFonts w:asciiTheme="minorHAnsi" w:hAnsiTheme="minorHAnsi" w:cstheme="minorHAnsi"/>
                <w:color w:val="13576B"/>
                <w:sz w:val="20"/>
              </w:rPr>
              <w:t xml:space="preserve">; barevný řádek odpovídá průměrné splatnosti nových hypoték podle dat ČNB; částky jsou zaokrouhleny na desítky korun. </w:t>
            </w:r>
          </w:p>
        </w:tc>
      </w:tr>
    </w:tbl>
    <w:p w14:paraId="008912E8" w14:textId="77777777" w:rsidR="005343BA" w:rsidRDefault="005343BA" w:rsidP="00EB1892">
      <w:pPr>
        <w:spacing w:after="120"/>
        <w:rPr>
          <w:rFonts w:ascii="Calibri" w:hAnsi="Calibri" w:cs="Calibri"/>
          <w:b/>
          <w:color w:val="13576B"/>
          <w:sz w:val="23"/>
          <w:szCs w:val="23"/>
        </w:rPr>
      </w:pPr>
    </w:p>
    <w:p w14:paraId="1973CBB4" w14:textId="07432AC1" w:rsidR="00EB1892" w:rsidRDefault="00EB1892" w:rsidP="00EB1892">
      <w:pPr>
        <w:spacing w:after="120"/>
        <w:rPr>
          <w:rFonts w:ascii="Calibri" w:hAnsi="Calibri" w:cs="Calibri"/>
          <w:b/>
          <w:color w:val="13576B"/>
          <w:sz w:val="23"/>
          <w:szCs w:val="23"/>
        </w:rPr>
      </w:pPr>
      <w:r w:rsidRPr="005B4653">
        <w:rPr>
          <w:rFonts w:ascii="Calibri" w:hAnsi="Calibri" w:cs="Calibri"/>
          <w:b/>
          <w:color w:val="13576B"/>
          <w:sz w:val="23"/>
          <w:szCs w:val="23"/>
        </w:rPr>
        <w:t xml:space="preserve">Graf č. </w:t>
      </w:r>
      <w:r w:rsidR="009D5F35">
        <w:rPr>
          <w:rFonts w:ascii="Calibri" w:hAnsi="Calibri" w:cs="Calibri"/>
          <w:b/>
          <w:color w:val="13576B"/>
          <w:sz w:val="23"/>
          <w:szCs w:val="23"/>
        </w:rPr>
        <w:t>3</w:t>
      </w:r>
      <w:r w:rsidRPr="005B4653">
        <w:rPr>
          <w:rFonts w:ascii="Calibri" w:hAnsi="Calibri" w:cs="Calibri"/>
          <w:b/>
          <w:color w:val="13576B"/>
          <w:sz w:val="23"/>
          <w:szCs w:val="23"/>
        </w:rPr>
        <w:t xml:space="preserve">: </w:t>
      </w:r>
      <w:r w:rsidR="009D5F35">
        <w:rPr>
          <w:rFonts w:ascii="Calibri" w:hAnsi="Calibri" w:cs="Calibri"/>
          <w:b/>
          <w:color w:val="13576B"/>
          <w:sz w:val="23"/>
          <w:szCs w:val="23"/>
        </w:rPr>
        <w:t>Ilustrativní srovnání výše měsíční splátky průměrné hypotéky s obdobím před rokem v závislosti na výši úroku, velikosti hypotéky a její splatnosti v</w:t>
      </w:r>
      <w:r w:rsidR="006C6628">
        <w:rPr>
          <w:rFonts w:ascii="Calibri" w:hAnsi="Calibri" w:cs="Calibri"/>
          <w:b/>
          <w:color w:val="13576B"/>
          <w:sz w:val="23"/>
          <w:szCs w:val="23"/>
        </w:rPr>
        <w:t> </w:t>
      </w:r>
      <w:r w:rsidR="009D5F35">
        <w:rPr>
          <w:rFonts w:ascii="Calibri" w:hAnsi="Calibri" w:cs="Calibri"/>
          <w:b/>
          <w:color w:val="13576B"/>
          <w:sz w:val="23"/>
          <w:szCs w:val="23"/>
        </w:rPr>
        <w:t>letech</w:t>
      </w:r>
    </w:p>
    <w:p w14:paraId="53510807" w14:textId="33A16901" w:rsidR="006C6628" w:rsidRPr="006C6628" w:rsidRDefault="006C6628" w:rsidP="000B064D">
      <w:pPr>
        <w:rPr>
          <w:rFonts w:ascii="Calibri" w:hAnsi="Calibri" w:cs="Calibri"/>
          <w:bCs/>
          <w:i/>
          <w:iCs/>
          <w:color w:val="13576B"/>
          <w:sz w:val="23"/>
          <w:szCs w:val="23"/>
        </w:rPr>
      </w:pPr>
      <w:r w:rsidRPr="006C6628">
        <w:rPr>
          <w:rFonts w:ascii="Calibri" w:hAnsi="Calibri" w:cs="Calibri"/>
          <w:bCs/>
          <w:i/>
          <w:iCs/>
          <w:color w:val="13576B"/>
          <w:sz w:val="23"/>
          <w:szCs w:val="23"/>
        </w:rPr>
        <w:t>V meziročním srovnání přinesl pokles hypoteční sazby úsporu průměrné měsíční splátky o 1</w:t>
      </w:r>
      <w:r>
        <w:rPr>
          <w:rFonts w:ascii="Calibri" w:hAnsi="Calibri" w:cs="Calibri"/>
          <w:bCs/>
          <w:i/>
          <w:iCs/>
          <w:color w:val="13576B"/>
          <w:sz w:val="23"/>
          <w:szCs w:val="23"/>
        </w:rPr>
        <w:t xml:space="preserve"> </w:t>
      </w:r>
      <w:r w:rsidRPr="006C6628">
        <w:rPr>
          <w:rFonts w:ascii="Calibri" w:hAnsi="Calibri" w:cs="Calibri"/>
          <w:bCs/>
          <w:i/>
          <w:iCs/>
          <w:color w:val="13576B"/>
          <w:sz w:val="23"/>
          <w:szCs w:val="23"/>
        </w:rPr>
        <w:t>220 Kč, ovšem růst průměrné výše hypotéky způsobil její navýšení o 3</w:t>
      </w:r>
      <w:r>
        <w:rPr>
          <w:rFonts w:ascii="Calibri" w:hAnsi="Calibri" w:cs="Calibri"/>
          <w:bCs/>
          <w:i/>
          <w:iCs/>
          <w:color w:val="13576B"/>
          <w:sz w:val="23"/>
          <w:szCs w:val="23"/>
        </w:rPr>
        <w:t xml:space="preserve"> </w:t>
      </w:r>
      <w:r w:rsidRPr="006C6628">
        <w:rPr>
          <w:rFonts w:ascii="Calibri" w:hAnsi="Calibri" w:cs="Calibri"/>
          <w:bCs/>
          <w:i/>
          <w:iCs/>
          <w:color w:val="13576B"/>
          <w:sz w:val="23"/>
          <w:szCs w:val="23"/>
        </w:rPr>
        <w:t>490 Kč.</w:t>
      </w:r>
    </w:p>
    <w:p w14:paraId="7D566DD6" w14:textId="692665C3" w:rsidR="00B44209" w:rsidRDefault="003D57E2" w:rsidP="00AA62A7">
      <w:pPr>
        <w:overflowPunct/>
        <w:autoSpaceDE/>
        <w:autoSpaceDN/>
        <w:adjustRightInd/>
        <w:spacing w:line="259" w:lineRule="auto"/>
        <w:jc w:val="left"/>
        <w:textAlignment w:val="auto"/>
        <w:rPr>
          <w:rFonts w:ascii="Calibri" w:hAnsi="Calibri" w:cs="Calibri"/>
          <w:b/>
          <w:color w:val="13576B"/>
          <w:sz w:val="24"/>
          <w:szCs w:val="24"/>
          <w:highlight w:val="yellow"/>
        </w:rPr>
      </w:pPr>
      <w:r>
        <w:rPr>
          <w:noProof/>
        </w:rPr>
        <w:drawing>
          <wp:inline distT="0" distB="0" distL="0" distR="0" wp14:anchorId="011AD105" wp14:editId="74516E8A">
            <wp:extent cx="5400000" cy="3838095"/>
            <wp:effectExtent l="0" t="0" r="0" b="0"/>
            <wp:docPr id="907286722"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86722" name="Picture 1" descr="A screenshot of a graph&#10;&#10;AI-generated content may be incorrect."/>
                    <pic:cNvPicPr/>
                  </pic:nvPicPr>
                  <pic:blipFill>
                    <a:blip r:embed="rId14"/>
                    <a:stretch>
                      <a:fillRect/>
                    </a:stretch>
                  </pic:blipFill>
                  <pic:spPr>
                    <a:xfrm>
                      <a:off x="0" y="0"/>
                      <a:ext cx="5400000" cy="3838095"/>
                    </a:xfrm>
                    <a:prstGeom prst="rect">
                      <a:avLst/>
                    </a:prstGeom>
                  </pic:spPr>
                </pic:pic>
              </a:graphicData>
            </a:graphic>
          </wp:inline>
        </w:drawing>
      </w:r>
    </w:p>
    <w:p w14:paraId="2DADE1A7" w14:textId="4B9EF024" w:rsidR="009D5F35" w:rsidRDefault="009D5F35" w:rsidP="009D5F35">
      <w:pPr>
        <w:overflowPunct/>
        <w:autoSpaceDE/>
        <w:adjustRightInd/>
        <w:rPr>
          <w:rFonts w:ascii="Calibri Light" w:hAnsi="Calibri Light" w:cs="Calibri Light"/>
          <w:color w:val="13576B"/>
          <w:sz w:val="20"/>
        </w:rPr>
      </w:pPr>
      <w:r w:rsidRPr="002F4CBD">
        <w:rPr>
          <w:rFonts w:ascii="Calibri Light" w:hAnsi="Calibri Light" w:cs="Calibri Light"/>
          <w:color w:val="13576B"/>
          <w:sz w:val="20"/>
        </w:rPr>
        <w:t>Pramen:</w:t>
      </w:r>
      <w:r>
        <w:rPr>
          <w:rFonts w:ascii="Calibri Light" w:hAnsi="Calibri Light" w:cs="Calibri Light"/>
          <w:color w:val="13576B"/>
          <w:sz w:val="20"/>
        </w:rPr>
        <w:t xml:space="preserve"> </w:t>
      </w:r>
      <w:r w:rsidRPr="002F4CBD">
        <w:rPr>
          <w:rFonts w:ascii="Calibri Light" w:hAnsi="Calibri Light" w:cs="Calibri Light"/>
          <w:color w:val="13576B"/>
          <w:sz w:val="20"/>
        </w:rPr>
        <w:t>ČBA</w:t>
      </w:r>
      <w:r w:rsidR="00AA62A7">
        <w:rPr>
          <w:rFonts w:ascii="Calibri Light" w:hAnsi="Calibri Light" w:cs="Calibri Light"/>
          <w:color w:val="13576B"/>
          <w:sz w:val="20"/>
        </w:rPr>
        <w:t xml:space="preserve">. Pozn.: </w:t>
      </w:r>
      <w:r w:rsidR="00AA62A7" w:rsidRPr="00AA62A7">
        <w:rPr>
          <w:rFonts w:ascii="Calibri Light" w:hAnsi="Calibri Light" w:cs="Calibri Light"/>
          <w:color w:val="13576B"/>
          <w:sz w:val="20"/>
        </w:rPr>
        <w:t>částky jsou zaokrouhleny na desítky korun.</w:t>
      </w:r>
    </w:p>
    <w:p w14:paraId="605CA941" w14:textId="77777777" w:rsidR="00173D31" w:rsidRDefault="00173D31" w:rsidP="009D5F35">
      <w:pPr>
        <w:overflowPunct/>
        <w:autoSpaceDE/>
        <w:adjustRightInd/>
        <w:rPr>
          <w:rFonts w:ascii="Calibri Light" w:hAnsi="Calibri Light" w:cs="Calibri Light"/>
          <w:color w:val="13576B"/>
          <w:sz w:val="20"/>
        </w:rPr>
      </w:pPr>
    </w:p>
    <w:p w14:paraId="7ECA69B5" w14:textId="77777777" w:rsidR="00173D31" w:rsidRDefault="00173D31" w:rsidP="009D5F35">
      <w:pPr>
        <w:overflowPunct/>
        <w:autoSpaceDE/>
        <w:adjustRightInd/>
        <w:rPr>
          <w:rFonts w:ascii="Calibri Light" w:hAnsi="Calibri Light" w:cs="Calibri Light"/>
          <w:color w:val="13576B"/>
          <w:sz w:val="20"/>
        </w:rPr>
      </w:pPr>
    </w:p>
    <w:p w14:paraId="5A72B105" w14:textId="48AC1F61" w:rsidR="002E4EFD" w:rsidRPr="002A5D11" w:rsidRDefault="008723A8" w:rsidP="002E4EFD">
      <w:pPr>
        <w:rPr>
          <w:rFonts w:ascii="Calibri" w:hAnsi="Calibri" w:cs="Calibri"/>
          <w:b/>
          <w:color w:val="13576B"/>
          <w:sz w:val="24"/>
          <w:szCs w:val="24"/>
        </w:rPr>
      </w:pPr>
      <w:r>
        <w:rPr>
          <w:rFonts w:ascii="Calibri" w:hAnsi="Calibri" w:cs="Calibri"/>
          <w:b/>
          <w:color w:val="13576B"/>
          <w:sz w:val="24"/>
          <w:szCs w:val="24"/>
        </w:rPr>
        <w:t>Statistická příloha</w:t>
      </w:r>
    </w:p>
    <w:p w14:paraId="384BA2E5" w14:textId="2704FA17" w:rsidR="0033440C" w:rsidRDefault="008723A8" w:rsidP="009D5F35">
      <w:pPr>
        <w:overflowPunct/>
        <w:autoSpaceDE/>
        <w:adjustRightInd/>
        <w:rPr>
          <w:rFonts w:ascii="Calibri Light" w:hAnsi="Calibri Light" w:cs="Calibri Light"/>
          <w:color w:val="13576B"/>
          <w:sz w:val="20"/>
        </w:rPr>
      </w:pPr>
      <w:r>
        <w:rPr>
          <w:noProof/>
        </w:rPr>
        <w:drawing>
          <wp:inline distT="0" distB="0" distL="0" distR="0" wp14:anchorId="04FB197A" wp14:editId="51C333EE">
            <wp:extent cx="6480810" cy="4011930"/>
            <wp:effectExtent l="0" t="0" r="0" b="7620"/>
            <wp:docPr id="623630976" name="Picture 1"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30976" name="Picture 1" descr="A graph of different colored lines&#10;&#10;AI-generated content may be incorrect."/>
                    <pic:cNvPicPr/>
                  </pic:nvPicPr>
                  <pic:blipFill>
                    <a:blip r:embed="rId15"/>
                    <a:stretch>
                      <a:fillRect/>
                    </a:stretch>
                  </pic:blipFill>
                  <pic:spPr>
                    <a:xfrm>
                      <a:off x="0" y="0"/>
                      <a:ext cx="6480810" cy="4011930"/>
                    </a:xfrm>
                    <a:prstGeom prst="rect">
                      <a:avLst/>
                    </a:prstGeom>
                  </pic:spPr>
                </pic:pic>
              </a:graphicData>
            </a:graphic>
          </wp:inline>
        </w:drawing>
      </w:r>
    </w:p>
    <w:p w14:paraId="055C2305" w14:textId="77777777" w:rsidR="008723A8" w:rsidRDefault="008723A8" w:rsidP="009D5F35">
      <w:pPr>
        <w:overflowPunct/>
        <w:autoSpaceDE/>
        <w:adjustRightInd/>
        <w:rPr>
          <w:rFonts w:ascii="Calibri Light" w:hAnsi="Calibri Light" w:cs="Calibri Light"/>
          <w:color w:val="13576B"/>
          <w:sz w:val="20"/>
        </w:rPr>
      </w:pPr>
    </w:p>
    <w:p w14:paraId="2543E5F5" w14:textId="68A6E96C" w:rsidR="0033440C" w:rsidRDefault="008723A8" w:rsidP="009D5F35">
      <w:pPr>
        <w:overflowPunct/>
        <w:autoSpaceDE/>
        <w:adjustRightInd/>
        <w:rPr>
          <w:rFonts w:ascii="Calibri Light" w:hAnsi="Calibri Light" w:cs="Calibri Light"/>
          <w:color w:val="13576B"/>
          <w:sz w:val="20"/>
        </w:rPr>
      </w:pPr>
      <w:r w:rsidRPr="002F4CBD">
        <w:rPr>
          <w:rFonts w:ascii="Calibri Light" w:hAnsi="Calibri Light" w:cs="Calibri Light"/>
          <w:color w:val="13576B"/>
          <w:sz w:val="20"/>
        </w:rPr>
        <w:t>Pramen:</w:t>
      </w:r>
      <w:r>
        <w:rPr>
          <w:rFonts w:ascii="Calibri Light" w:hAnsi="Calibri Light" w:cs="Calibri Light"/>
          <w:color w:val="13576B"/>
          <w:sz w:val="20"/>
        </w:rPr>
        <w:t xml:space="preserve"> </w:t>
      </w:r>
      <w:r w:rsidRPr="002F4CBD">
        <w:rPr>
          <w:rFonts w:ascii="Calibri Light" w:hAnsi="Calibri Light" w:cs="Calibri Light"/>
          <w:color w:val="13576B"/>
          <w:sz w:val="20"/>
        </w:rPr>
        <w:t>ČBA</w:t>
      </w:r>
      <w:r>
        <w:rPr>
          <w:rFonts w:ascii="Calibri Light" w:hAnsi="Calibri Light" w:cs="Calibri Light"/>
          <w:color w:val="13576B"/>
          <w:sz w:val="20"/>
        </w:rPr>
        <w:t xml:space="preserve"> Hypomonitor</w:t>
      </w:r>
    </w:p>
    <w:p w14:paraId="03530238" w14:textId="416720AC" w:rsidR="008723A8" w:rsidRDefault="008723A8" w:rsidP="009D5F35">
      <w:pPr>
        <w:overflowPunct/>
        <w:autoSpaceDE/>
        <w:adjustRightInd/>
        <w:rPr>
          <w:rFonts w:ascii="Calibri Light" w:hAnsi="Calibri Light" w:cs="Calibri Light"/>
          <w:color w:val="13576B"/>
          <w:sz w:val="20"/>
        </w:rPr>
      </w:pPr>
      <w:r>
        <w:rPr>
          <w:rFonts w:ascii="Calibri Light" w:hAnsi="Calibri Light" w:cs="Calibri Light"/>
          <w:color w:val="13576B"/>
          <w:sz w:val="20"/>
        </w:rPr>
        <w:t xml:space="preserve">Poznámka: </w:t>
      </w:r>
      <w:r w:rsidR="006E2E7E">
        <w:rPr>
          <w:rFonts w:ascii="Calibri Light" w:hAnsi="Calibri Light" w:cs="Calibri Light"/>
          <w:color w:val="13576B"/>
          <w:sz w:val="20"/>
        </w:rPr>
        <w:t xml:space="preserve">Jedná se o skutečně nové hypotéky (tedy refinancování a navýšeni). </w:t>
      </w:r>
      <w:r>
        <w:rPr>
          <w:rFonts w:ascii="Calibri Light" w:hAnsi="Calibri Light" w:cs="Calibri Light"/>
          <w:color w:val="13576B"/>
          <w:sz w:val="20"/>
        </w:rPr>
        <w:t xml:space="preserve">Podkladová data jsou </w:t>
      </w:r>
      <w:r w:rsidRPr="008723A8">
        <w:rPr>
          <w:rFonts w:ascii="Calibri Light" w:hAnsi="Calibri Light" w:cs="Calibri Light"/>
          <w:color w:val="13576B"/>
          <w:sz w:val="20"/>
        </w:rPr>
        <w:t>k dispozici v souboru xls přiloženém na webových stránkách ČBA Hypomonitoru</w:t>
      </w:r>
    </w:p>
    <w:p w14:paraId="50F3BD64" w14:textId="77777777" w:rsidR="0033440C" w:rsidRDefault="0033440C" w:rsidP="009D5F35">
      <w:pPr>
        <w:overflowPunct/>
        <w:autoSpaceDE/>
        <w:adjustRightInd/>
        <w:rPr>
          <w:rFonts w:ascii="Calibri Light" w:hAnsi="Calibri Light" w:cs="Calibri Light"/>
          <w:color w:val="13576B"/>
          <w:sz w:val="20"/>
        </w:rPr>
      </w:pPr>
    </w:p>
    <w:p w14:paraId="28C4B189" w14:textId="77777777" w:rsidR="0033440C" w:rsidRDefault="0033440C" w:rsidP="009D5F35">
      <w:pPr>
        <w:overflowPunct/>
        <w:autoSpaceDE/>
        <w:adjustRightInd/>
        <w:rPr>
          <w:rFonts w:ascii="Calibri Light" w:hAnsi="Calibri Light" w:cs="Calibri Light"/>
          <w:color w:val="13576B"/>
          <w:sz w:val="20"/>
        </w:rPr>
      </w:pPr>
    </w:p>
    <w:p w14:paraId="41AB50A7" w14:textId="77777777" w:rsidR="0033440C" w:rsidRDefault="0033440C" w:rsidP="009D5F35">
      <w:pPr>
        <w:overflowPunct/>
        <w:autoSpaceDE/>
        <w:adjustRightInd/>
        <w:rPr>
          <w:rFonts w:ascii="Calibri Light" w:hAnsi="Calibri Light" w:cs="Calibri Light"/>
          <w:color w:val="13576B"/>
          <w:sz w:val="20"/>
        </w:rPr>
      </w:pPr>
    </w:p>
    <w:p w14:paraId="2734A8D8" w14:textId="77777777" w:rsidR="0033440C" w:rsidRDefault="0033440C" w:rsidP="009D5F35">
      <w:pPr>
        <w:overflowPunct/>
        <w:autoSpaceDE/>
        <w:adjustRightInd/>
        <w:rPr>
          <w:rFonts w:ascii="Calibri Light" w:hAnsi="Calibri Light" w:cs="Calibri Light"/>
          <w:color w:val="13576B"/>
          <w:sz w:val="20"/>
        </w:rPr>
      </w:pPr>
    </w:p>
    <w:p w14:paraId="173295CC" w14:textId="77777777" w:rsidR="0033440C" w:rsidRDefault="0033440C" w:rsidP="009D5F35">
      <w:pPr>
        <w:overflowPunct/>
        <w:autoSpaceDE/>
        <w:adjustRightInd/>
        <w:rPr>
          <w:rFonts w:ascii="Calibri Light" w:hAnsi="Calibri Light" w:cs="Calibri Light"/>
          <w:color w:val="13576B"/>
          <w:sz w:val="20"/>
        </w:rPr>
      </w:pPr>
    </w:p>
    <w:p w14:paraId="5303965F" w14:textId="77777777" w:rsidR="0033440C" w:rsidRPr="00616069" w:rsidRDefault="0033440C" w:rsidP="009D5F35">
      <w:pPr>
        <w:overflowPunct/>
        <w:autoSpaceDE/>
        <w:adjustRightInd/>
        <w:rPr>
          <w:rFonts w:ascii="Calibri Light" w:hAnsi="Calibri Light" w:cs="Calibri Light"/>
          <w:color w:val="13576B"/>
          <w:sz w:val="20"/>
        </w:rPr>
      </w:pPr>
    </w:p>
    <w:bookmarkEnd w:id="6"/>
    <w:p w14:paraId="0D5FBC63" w14:textId="77777777" w:rsidR="002A5D11" w:rsidRPr="002A5D11" w:rsidRDefault="002A5D11" w:rsidP="002A5D11">
      <w:pPr>
        <w:rPr>
          <w:rFonts w:ascii="Calibri" w:hAnsi="Calibri" w:cs="Calibri"/>
          <w:b/>
          <w:color w:val="13576B"/>
          <w:sz w:val="24"/>
          <w:szCs w:val="24"/>
        </w:rPr>
      </w:pPr>
      <w:r w:rsidRPr="002A5D11">
        <w:rPr>
          <w:rFonts w:ascii="Calibri" w:hAnsi="Calibri" w:cs="Calibri"/>
          <w:b/>
          <w:color w:val="13576B"/>
          <w:sz w:val="24"/>
          <w:szCs w:val="24"/>
        </w:rPr>
        <w:t>Hypoteční trh v roce 2024: Rekordní růst o 83 %</w:t>
      </w:r>
    </w:p>
    <w:p w14:paraId="4743E758" w14:textId="77777777" w:rsidR="001002CD" w:rsidRPr="00840F7C" w:rsidRDefault="001002CD" w:rsidP="003E393C">
      <w:pPr>
        <w:rPr>
          <w:rFonts w:ascii="Calibri" w:hAnsi="Calibri" w:cs="Calibri"/>
          <w:b/>
          <w:bCs/>
          <w:sz w:val="22"/>
          <w:szCs w:val="22"/>
        </w:rPr>
      </w:pPr>
    </w:p>
    <w:p w14:paraId="2BEF2B35" w14:textId="036FD876" w:rsidR="003E393C" w:rsidRPr="002138C0" w:rsidRDefault="001002CD" w:rsidP="003E393C">
      <w:pPr>
        <w:rPr>
          <w:rFonts w:ascii="Calibri" w:hAnsi="Calibri" w:cs="Calibri"/>
          <w:b/>
          <w:color w:val="13576B"/>
          <w:sz w:val="23"/>
          <w:szCs w:val="23"/>
          <w:highlight w:val="yellow"/>
        </w:rPr>
      </w:pPr>
      <w:r w:rsidRPr="00840F7C">
        <w:rPr>
          <w:rFonts w:ascii="Calibri" w:hAnsi="Calibri" w:cs="Calibri"/>
          <w:b/>
          <w:bCs/>
          <w:color w:val="000000" w:themeColor="text1"/>
          <w:sz w:val="22"/>
          <w:szCs w:val="22"/>
        </w:rPr>
        <w:t xml:space="preserve">Za celý rok 2024 poskytly banky a stavební spořitelny nové hypoteční úvěry v objemu 228 miliard Kč. </w:t>
      </w:r>
      <w:r w:rsidRPr="00840F7C">
        <w:rPr>
          <w:rFonts w:ascii="Calibri" w:hAnsi="Calibri" w:cs="Calibri"/>
          <w:color w:val="000000" w:themeColor="text1"/>
          <w:sz w:val="22"/>
          <w:szCs w:val="22"/>
        </w:rPr>
        <w:t>To je více než 83</w:t>
      </w:r>
      <w:r w:rsidR="00AE4002">
        <w:rPr>
          <w:rFonts w:ascii="Calibri" w:hAnsi="Calibri" w:cs="Calibri"/>
          <w:color w:val="000000" w:themeColor="text1"/>
          <w:sz w:val="22"/>
          <w:szCs w:val="22"/>
        </w:rPr>
        <w:t>%</w:t>
      </w:r>
      <w:r w:rsidRPr="00840F7C">
        <w:rPr>
          <w:rFonts w:ascii="Calibri" w:hAnsi="Calibri" w:cs="Calibri"/>
          <w:color w:val="000000" w:themeColor="text1"/>
          <w:sz w:val="22"/>
          <w:szCs w:val="22"/>
        </w:rPr>
        <w:t xml:space="preserve"> skok vůči objemu z roku 2023. K tomu se navíc refinancovaly hypotéky v rozsahu 47 miliard Kč a celý hypoteční trh tak v roce 2024 narostl na 275 miliard Kč ze 150 miliard v roce 2023. Pokud upravíme objemy o nárůst cen nemovitostí o 4-8 % (dle různých statistik během 1</w:t>
      </w:r>
      <w:r w:rsidR="00AE4002">
        <w:rPr>
          <w:rFonts w:ascii="Calibri" w:hAnsi="Calibri" w:cs="Calibri"/>
          <w:color w:val="000000" w:themeColor="text1"/>
          <w:sz w:val="22"/>
          <w:szCs w:val="22"/>
        </w:rPr>
        <w:t>.</w:t>
      </w:r>
      <w:r w:rsidRPr="00840F7C">
        <w:rPr>
          <w:rFonts w:ascii="Calibri" w:hAnsi="Calibri" w:cs="Calibri"/>
          <w:color w:val="000000" w:themeColor="text1"/>
          <w:sz w:val="22"/>
          <w:szCs w:val="22"/>
        </w:rPr>
        <w:t xml:space="preserve">-3. čtvrtletí 2024), objem nových hypoték vzrostl reálně o něco méně. To odpovídá i mírnějšímu nárůstu počtu nových hypoték v roce 2024 o 53 % meziročně na téměř </w:t>
      </w:r>
      <w:r w:rsidRPr="00872E78">
        <w:rPr>
          <w:rFonts w:ascii="Calibri" w:hAnsi="Calibri" w:cs="Calibri"/>
          <w:color w:val="000000" w:themeColor="text1"/>
          <w:sz w:val="22"/>
          <w:szCs w:val="22"/>
        </w:rPr>
        <w:t>62 tisíc a téměř 20% nárůstu průměrné výše poskytnuté nové hypotéky na 3,7 milion</w:t>
      </w:r>
      <w:r w:rsidR="00AE4002">
        <w:rPr>
          <w:rFonts w:ascii="Calibri" w:hAnsi="Calibri" w:cs="Calibri"/>
          <w:color w:val="000000" w:themeColor="text1"/>
          <w:sz w:val="22"/>
          <w:szCs w:val="22"/>
        </w:rPr>
        <w:t>u</w:t>
      </w:r>
      <w:r w:rsidRPr="00872E78">
        <w:rPr>
          <w:rFonts w:ascii="Calibri" w:hAnsi="Calibri" w:cs="Calibri"/>
          <w:color w:val="000000" w:themeColor="text1"/>
          <w:sz w:val="22"/>
          <w:szCs w:val="22"/>
        </w:rPr>
        <w:t xml:space="preserve"> Kč</w:t>
      </w:r>
      <w:r w:rsidR="00693034" w:rsidRPr="00872E78">
        <w:rPr>
          <w:rFonts w:ascii="Calibri" w:hAnsi="Calibri" w:cs="Calibri"/>
          <w:color w:val="000000" w:themeColor="text1"/>
          <w:sz w:val="22"/>
          <w:szCs w:val="22"/>
        </w:rPr>
        <w:t xml:space="preserve">. </w:t>
      </w:r>
      <w:r w:rsidR="003E393C" w:rsidRPr="00872E78">
        <w:rPr>
          <w:rFonts w:ascii="Calibri" w:hAnsi="Calibri" w:cs="Calibri"/>
          <w:color w:val="000000" w:themeColor="text1"/>
          <w:sz w:val="22"/>
          <w:szCs w:val="22"/>
        </w:rPr>
        <w:t>Ve srovnání s předpandemickými roky 2017-2019 byl objem poskytnutých</w:t>
      </w:r>
      <w:r w:rsidR="00872E78" w:rsidRPr="00872E78">
        <w:rPr>
          <w:rFonts w:ascii="Calibri" w:hAnsi="Calibri" w:cs="Calibri"/>
          <w:color w:val="000000" w:themeColor="text1"/>
          <w:sz w:val="22"/>
          <w:szCs w:val="22"/>
        </w:rPr>
        <w:t xml:space="preserve"> nových</w:t>
      </w:r>
      <w:r w:rsidR="003E393C" w:rsidRPr="00872E78">
        <w:rPr>
          <w:rFonts w:ascii="Calibri" w:hAnsi="Calibri" w:cs="Calibri"/>
          <w:color w:val="000000" w:themeColor="text1"/>
          <w:sz w:val="22"/>
          <w:szCs w:val="22"/>
        </w:rPr>
        <w:t xml:space="preserve"> hypoték v roce 202</w:t>
      </w:r>
      <w:r w:rsidR="003E4820" w:rsidRPr="00872E78">
        <w:rPr>
          <w:rFonts w:ascii="Calibri" w:hAnsi="Calibri" w:cs="Calibri"/>
          <w:color w:val="000000" w:themeColor="text1"/>
          <w:sz w:val="22"/>
          <w:szCs w:val="22"/>
        </w:rPr>
        <w:t>4</w:t>
      </w:r>
      <w:r w:rsidR="003E393C" w:rsidRPr="00872E78">
        <w:rPr>
          <w:rFonts w:ascii="Calibri" w:hAnsi="Calibri" w:cs="Calibri"/>
          <w:color w:val="000000" w:themeColor="text1"/>
          <w:sz w:val="22"/>
          <w:szCs w:val="22"/>
        </w:rPr>
        <w:t xml:space="preserve"> zhruba o </w:t>
      </w:r>
      <w:r w:rsidR="00FE400F" w:rsidRPr="00872E78">
        <w:rPr>
          <w:rFonts w:ascii="Calibri" w:hAnsi="Calibri" w:cs="Calibri"/>
          <w:color w:val="000000" w:themeColor="text1"/>
          <w:sz w:val="22"/>
          <w:szCs w:val="22"/>
        </w:rPr>
        <w:t>necelou pětinu vyšší</w:t>
      </w:r>
      <w:r w:rsidR="003E393C" w:rsidRPr="00872E78">
        <w:rPr>
          <w:rFonts w:ascii="Calibri" w:hAnsi="Calibri" w:cs="Calibri"/>
          <w:color w:val="000000" w:themeColor="text1"/>
          <w:sz w:val="22"/>
          <w:szCs w:val="22"/>
        </w:rPr>
        <w:t xml:space="preserve">. </w:t>
      </w:r>
    </w:p>
    <w:p w14:paraId="5FD17B82" w14:textId="77777777" w:rsidR="005F105B" w:rsidRDefault="005F105B" w:rsidP="003E393C">
      <w:pPr>
        <w:rPr>
          <w:rFonts w:ascii="Calibri" w:hAnsi="Calibri" w:cs="Calibri"/>
          <w:b/>
          <w:color w:val="13576B"/>
          <w:sz w:val="23"/>
          <w:szCs w:val="23"/>
          <w:highlight w:val="yellow"/>
        </w:rPr>
      </w:pPr>
    </w:p>
    <w:p w14:paraId="1506699D" w14:textId="77777777" w:rsidR="005343BA" w:rsidRDefault="005343BA" w:rsidP="003E393C">
      <w:pPr>
        <w:rPr>
          <w:rFonts w:ascii="Calibri" w:hAnsi="Calibri" w:cs="Calibri"/>
          <w:b/>
          <w:color w:val="13576B"/>
          <w:sz w:val="23"/>
          <w:szCs w:val="23"/>
          <w:highlight w:val="yellow"/>
        </w:rPr>
      </w:pPr>
    </w:p>
    <w:p w14:paraId="70B01570" w14:textId="77777777" w:rsidR="005343BA" w:rsidRDefault="005343BA" w:rsidP="003E393C">
      <w:pPr>
        <w:rPr>
          <w:rFonts w:ascii="Calibri" w:hAnsi="Calibri" w:cs="Calibri"/>
          <w:b/>
          <w:color w:val="13576B"/>
          <w:sz w:val="23"/>
          <w:szCs w:val="23"/>
          <w:highlight w:val="yellow"/>
        </w:rPr>
      </w:pPr>
    </w:p>
    <w:p w14:paraId="0514B5D2" w14:textId="77777777" w:rsidR="005343BA" w:rsidRDefault="005343BA" w:rsidP="003E393C">
      <w:pPr>
        <w:rPr>
          <w:rFonts w:ascii="Calibri" w:hAnsi="Calibri" w:cs="Calibri"/>
          <w:b/>
          <w:color w:val="13576B"/>
          <w:sz w:val="23"/>
          <w:szCs w:val="23"/>
          <w:highlight w:val="yellow"/>
        </w:rPr>
      </w:pPr>
    </w:p>
    <w:p w14:paraId="590DDD4C" w14:textId="77777777" w:rsidR="005343BA" w:rsidRDefault="005343BA" w:rsidP="003E393C">
      <w:pPr>
        <w:rPr>
          <w:rFonts w:ascii="Calibri" w:hAnsi="Calibri" w:cs="Calibri"/>
          <w:b/>
          <w:color w:val="13576B"/>
          <w:sz w:val="23"/>
          <w:szCs w:val="23"/>
          <w:highlight w:val="yellow"/>
        </w:rPr>
      </w:pPr>
    </w:p>
    <w:p w14:paraId="1AA631AE" w14:textId="77777777" w:rsidR="005343BA" w:rsidRDefault="005343BA" w:rsidP="003E393C">
      <w:pPr>
        <w:rPr>
          <w:rFonts w:ascii="Calibri" w:hAnsi="Calibri" w:cs="Calibri"/>
          <w:b/>
          <w:color w:val="13576B"/>
          <w:sz w:val="23"/>
          <w:szCs w:val="23"/>
          <w:highlight w:val="yellow"/>
        </w:rPr>
      </w:pPr>
    </w:p>
    <w:p w14:paraId="27A57DD1" w14:textId="77777777" w:rsidR="001E4370" w:rsidRPr="002138C0" w:rsidRDefault="001E4370" w:rsidP="003E393C">
      <w:pPr>
        <w:rPr>
          <w:rFonts w:ascii="Calibri" w:hAnsi="Calibri" w:cs="Calibri"/>
          <w:b/>
          <w:color w:val="13576B"/>
          <w:sz w:val="23"/>
          <w:szCs w:val="23"/>
          <w:highlight w:val="yellow"/>
        </w:rPr>
      </w:pPr>
    </w:p>
    <w:p w14:paraId="11595CC2" w14:textId="3C3B4C02" w:rsidR="003E393C" w:rsidRPr="002F4CBD" w:rsidRDefault="003E393C" w:rsidP="003E393C">
      <w:pPr>
        <w:rPr>
          <w:rFonts w:ascii="Calibri" w:hAnsi="Calibri" w:cs="Calibri"/>
          <w:sz w:val="22"/>
          <w:szCs w:val="22"/>
        </w:rPr>
      </w:pPr>
      <w:r w:rsidRPr="002F4CBD">
        <w:rPr>
          <w:rFonts w:ascii="Calibri" w:hAnsi="Calibri" w:cs="Calibri"/>
          <w:b/>
          <w:color w:val="13576B"/>
          <w:sz w:val="23"/>
          <w:szCs w:val="23"/>
        </w:rPr>
        <w:t xml:space="preserve">Graf č. </w:t>
      </w:r>
      <w:r w:rsidR="0010371D" w:rsidRPr="002F4CBD">
        <w:rPr>
          <w:rFonts w:ascii="Calibri" w:hAnsi="Calibri" w:cs="Calibri"/>
          <w:b/>
          <w:color w:val="13576B"/>
          <w:sz w:val="23"/>
          <w:szCs w:val="23"/>
        </w:rPr>
        <w:t>2</w:t>
      </w:r>
      <w:r w:rsidRPr="002F4CBD">
        <w:rPr>
          <w:rFonts w:ascii="Calibri" w:hAnsi="Calibri" w:cs="Calibri"/>
          <w:b/>
          <w:color w:val="13576B"/>
          <w:sz w:val="23"/>
          <w:szCs w:val="23"/>
        </w:rPr>
        <w:t>: Celoroční objem</w:t>
      </w:r>
      <w:r w:rsidR="003D57E2">
        <w:rPr>
          <w:rFonts w:ascii="Calibri" w:hAnsi="Calibri" w:cs="Calibri"/>
          <w:b/>
          <w:color w:val="13576B"/>
          <w:sz w:val="23"/>
          <w:szCs w:val="23"/>
        </w:rPr>
        <w:t xml:space="preserve">, </w:t>
      </w:r>
      <w:r w:rsidRPr="002F4CBD">
        <w:rPr>
          <w:rFonts w:ascii="Calibri" w:hAnsi="Calibri" w:cs="Calibri"/>
          <w:b/>
          <w:color w:val="13576B"/>
          <w:sz w:val="23"/>
          <w:szCs w:val="23"/>
        </w:rPr>
        <w:t xml:space="preserve">počet </w:t>
      </w:r>
      <w:r w:rsidR="003D57E2">
        <w:rPr>
          <w:rFonts w:ascii="Calibri" w:hAnsi="Calibri" w:cs="Calibri"/>
          <w:b/>
          <w:color w:val="13576B"/>
          <w:sz w:val="23"/>
          <w:szCs w:val="23"/>
        </w:rPr>
        <w:t xml:space="preserve">a průměrná výše </w:t>
      </w:r>
      <w:r w:rsidRPr="002F4CBD">
        <w:rPr>
          <w:rFonts w:ascii="Calibri" w:hAnsi="Calibri" w:cs="Calibri"/>
          <w:b/>
          <w:color w:val="13576B"/>
          <w:sz w:val="23"/>
          <w:szCs w:val="23"/>
        </w:rPr>
        <w:t>poskytnutých hypoték v letech 202</w:t>
      </w:r>
      <w:r w:rsidR="003D57E2">
        <w:rPr>
          <w:rFonts w:ascii="Calibri" w:hAnsi="Calibri" w:cs="Calibri"/>
          <w:b/>
          <w:color w:val="13576B"/>
          <w:sz w:val="23"/>
          <w:szCs w:val="23"/>
        </w:rPr>
        <w:t>0</w:t>
      </w:r>
      <w:r w:rsidRPr="002F4CBD">
        <w:rPr>
          <w:rFonts w:ascii="Calibri" w:hAnsi="Calibri" w:cs="Calibri"/>
          <w:b/>
          <w:color w:val="13576B"/>
          <w:sz w:val="23"/>
          <w:szCs w:val="23"/>
        </w:rPr>
        <w:t xml:space="preserve"> až 202</w:t>
      </w:r>
      <w:r w:rsidR="002138C0" w:rsidRPr="002F4CBD">
        <w:rPr>
          <w:rFonts w:ascii="Calibri" w:hAnsi="Calibri" w:cs="Calibri"/>
          <w:b/>
          <w:color w:val="13576B"/>
          <w:sz w:val="23"/>
          <w:szCs w:val="23"/>
        </w:rPr>
        <w:t>4</w:t>
      </w:r>
    </w:p>
    <w:p w14:paraId="6B4EF12D" w14:textId="28831766" w:rsidR="003E393C" w:rsidRPr="002F4CBD" w:rsidRDefault="003E393C" w:rsidP="003E393C">
      <w:pPr>
        <w:rPr>
          <w:rFonts w:ascii="Calibri" w:hAnsi="Calibri" w:cs="Calibri"/>
          <w:sz w:val="22"/>
          <w:szCs w:val="22"/>
        </w:rPr>
      </w:pPr>
    </w:p>
    <w:p w14:paraId="2F4D295D" w14:textId="6B9E4D05" w:rsidR="002F4CBD" w:rsidRPr="002F4CBD" w:rsidRDefault="003D57E2" w:rsidP="003E393C">
      <w:pPr>
        <w:rPr>
          <w:rFonts w:ascii="Calibri" w:hAnsi="Calibri" w:cs="Calibri"/>
          <w:sz w:val="22"/>
          <w:szCs w:val="22"/>
        </w:rPr>
      </w:pPr>
      <w:r>
        <w:rPr>
          <w:noProof/>
        </w:rPr>
        <w:drawing>
          <wp:inline distT="0" distB="0" distL="0" distR="0" wp14:anchorId="32FD9A30" wp14:editId="5FC9F4F0">
            <wp:extent cx="6480810" cy="1790065"/>
            <wp:effectExtent l="0" t="0" r="0" b="635"/>
            <wp:docPr id="204938162" name="Picture 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8162" name="Picture 1" descr="A graph of different colored bars&#10;&#10;AI-generated content may be incorrect."/>
                    <pic:cNvPicPr/>
                  </pic:nvPicPr>
                  <pic:blipFill>
                    <a:blip r:embed="rId16"/>
                    <a:stretch>
                      <a:fillRect/>
                    </a:stretch>
                  </pic:blipFill>
                  <pic:spPr>
                    <a:xfrm>
                      <a:off x="0" y="0"/>
                      <a:ext cx="6480810" cy="1790065"/>
                    </a:xfrm>
                    <a:prstGeom prst="rect">
                      <a:avLst/>
                    </a:prstGeom>
                  </pic:spPr>
                </pic:pic>
              </a:graphicData>
            </a:graphic>
          </wp:inline>
        </w:drawing>
      </w:r>
    </w:p>
    <w:p w14:paraId="4E8749FA" w14:textId="77777777" w:rsidR="003E393C" w:rsidRPr="00616069" w:rsidRDefault="003E393C" w:rsidP="003E393C">
      <w:pPr>
        <w:overflowPunct/>
        <w:autoSpaceDE/>
        <w:adjustRightInd/>
        <w:rPr>
          <w:rFonts w:ascii="Calibri Light" w:hAnsi="Calibri Light" w:cs="Calibri Light"/>
          <w:color w:val="13576B"/>
          <w:sz w:val="20"/>
        </w:rPr>
      </w:pPr>
      <w:r w:rsidRPr="002F4CBD">
        <w:rPr>
          <w:rFonts w:ascii="Calibri Light" w:hAnsi="Calibri Light" w:cs="Calibri Light"/>
          <w:color w:val="13576B"/>
          <w:sz w:val="20"/>
        </w:rPr>
        <w:t>Pramen: ČBA Hypomonitor</w:t>
      </w:r>
    </w:p>
    <w:p w14:paraId="372DD4C3" w14:textId="77777777" w:rsidR="003E393C" w:rsidRPr="00616069" w:rsidRDefault="003E393C" w:rsidP="003E393C">
      <w:pPr>
        <w:rPr>
          <w:rFonts w:ascii="Calibri" w:hAnsi="Calibri" w:cs="Calibri"/>
          <w:b/>
          <w:color w:val="13576B"/>
          <w:sz w:val="23"/>
          <w:szCs w:val="23"/>
        </w:rPr>
      </w:pPr>
    </w:p>
    <w:p w14:paraId="7448079E" w14:textId="77777777" w:rsidR="003E393C" w:rsidRPr="00616069" w:rsidRDefault="003E393C" w:rsidP="003E393C">
      <w:pPr>
        <w:rPr>
          <w:rFonts w:ascii="Calibri" w:hAnsi="Calibri" w:cs="Calibri"/>
          <w:b/>
          <w:color w:val="13576B"/>
          <w:sz w:val="23"/>
          <w:szCs w:val="23"/>
        </w:rPr>
      </w:pPr>
    </w:p>
    <w:p w14:paraId="22ED378A" w14:textId="017879D6" w:rsidR="006C53A0" w:rsidRPr="00616069" w:rsidRDefault="006C53A0" w:rsidP="007F41A0">
      <w:pPr>
        <w:rPr>
          <w:rFonts w:ascii="Calibri" w:hAnsi="Calibri" w:cs="Calibri"/>
          <w:b/>
          <w:color w:val="13576B"/>
          <w:sz w:val="23"/>
          <w:szCs w:val="23"/>
        </w:rPr>
      </w:pPr>
    </w:p>
    <w:p w14:paraId="1117B780" w14:textId="3B9498AC" w:rsidR="007F41A0" w:rsidRPr="00616069" w:rsidRDefault="007F41A0" w:rsidP="007F41A0">
      <w:pPr>
        <w:rPr>
          <w:rFonts w:ascii="Calibri" w:hAnsi="Calibri" w:cs="Calibri"/>
          <w:b/>
          <w:color w:val="13576B"/>
          <w:sz w:val="23"/>
          <w:szCs w:val="23"/>
        </w:rPr>
      </w:pPr>
      <w:r w:rsidRPr="00616069">
        <w:rPr>
          <w:rFonts w:ascii="Calibri" w:hAnsi="Calibri" w:cs="Calibri"/>
          <w:b/>
          <w:color w:val="13576B"/>
          <w:sz w:val="23"/>
          <w:szCs w:val="23"/>
        </w:rPr>
        <w:t>ČBA zveřejňuje souhrnné statistiky za celý bankovní trh</w:t>
      </w:r>
    </w:p>
    <w:p w14:paraId="55E76E82" w14:textId="019F3D7D" w:rsidR="007F41A0" w:rsidRPr="00616069" w:rsidRDefault="007F41A0" w:rsidP="007F41A0">
      <w:pPr>
        <w:rPr>
          <w:rFonts w:ascii="Calibri" w:hAnsi="Calibri" w:cs="Calibri"/>
          <w:b/>
          <w:bCs/>
          <w:sz w:val="22"/>
          <w:szCs w:val="22"/>
        </w:rPr>
      </w:pPr>
      <w:r w:rsidRPr="00616069">
        <w:rPr>
          <w:rFonts w:ascii="Calibri" w:hAnsi="Calibri" w:cs="Calibri"/>
          <w:sz w:val="22"/>
          <w:szCs w:val="22"/>
        </w:rPr>
        <w:t xml:space="preserve">Česká bankovní asociace zveřejňuje ve spolupráci s členskými bankami nové souhrnné statistiky z trhu bydlení. Jde především o objemy a počty nově poskytnutých a refinancovaných hypoték a příslušnou úrokovou sazbu. Tyto statistiky publikuje ČBA v agregované podobě za celý bankovní sektor na pravidelné bázi vždy zhruba v polovině měsíce. Šetření se účastní všechny tuzemské banky a stavební spořitelny poskytující v ČR hypotéky. Data jsou dostupná od ledna roku 2020 v přiloženém souboru na stránkách </w:t>
      </w:r>
      <w:hyperlink r:id="rId17" w:history="1">
        <w:r w:rsidR="004674AA" w:rsidRPr="00616069">
          <w:rPr>
            <w:rStyle w:val="Hypertextovodkaz"/>
            <w:rFonts w:ascii="Calibri" w:hAnsi="Calibri" w:cs="Calibri"/>
            <w:b/>
            <w:bCs/>
            <w:sz w:val="22"/>
            <w:szCs w:val="22"/>
          </w:rPr>
          <w:t>www.cbaonline.cz</w:t>
        </w:r>
      </w:hyperlink>
      <w:r w:rsidR="004674AA" w:rsidRPr="00616069">
        <w:rPr>
          <w:rFonts w:ascii="Calibri" w:hAnsi="Calibri" w:cs="Calibri"/>
          <w:b/>
          <w:bCs/>
          <w:sz w:val="22"/>
          <w:szCs w:val="22"/>
        </w:rPr>
        <w:t xml:space="preserve">, </w:t>
      </w:r>
      <w:r w:rsidRPr="00616069">
        <w:rPr>
          <w:rFonts w:ascii="Calibri" w:hAnsi="Calibri" w:cs="Calibri"/>
          <w:sz w:val="22"/>
          <w:szCs w:val="22"/>
        </w:rPr>
        <w:t>kde lze také příslušné statistiky najít zvlášť pro banky a stavební spořitelny. Výše uvedené hodnoty jsou pro sektor jako celek</w:t>
      </w:r>
      <w:r w:rsidR="004674AA" w:rsidRPr="00616069">
        <w:rPr>
          <w:rFonts w:ascii="Calibri" w:hAnsi="Calibri" w:cs="Calibri"/>
          <w:sz w:val="22"/>
          <w:szCs w:val="22"/>
        </w:rPr>
        <w:t>, které lze v jednoduch</w:t>
      </w:r>
      <w:r w:rsidR="004C593C">
        <w:rPr>
          <w:rFonts w:ascii="Calibri" w:hAnsi="Calibri" w:cs="Calibri"/>
          <w:sz w:val="22"/>
          <w:szCs w:val="22"/>
        </w:rPr>
        <w:t>é</w:t>
      </w:r>
      <w:r w:rsidR="004674AA" w:rsidRPr="00616069">
        <w:rPr>
          <w:rFonts w:ascii="Calibri" w:hAnsi="Calibri" w:cs="Calibri"/>
          <w:sz w:val="22"/>
          <w:szCs w:val="22"/>
        </w:rPr>
        <w:t xml:space="preserve"> grafické podobě sledovat také na stránkách </w:t>
      </w:r>
      <w:hyperlink r:id="rId18" w:history="1">
        <w:r w:rsidR="004674AA" w:rsidRPr="00616069">
          <w:rPr>
            <w:rStyle w:val="Hypertextovodkaz"/>
            <w:rFonts w:ascii="Calibri" w:hAnsi="Calibri" w:cs="Calibri"/>
            <w:b/>
            <w:bCs/>
            <w:sz w:val="22"/>
            <w:szCs w:val="22"/>
          </w:rPr>
          <w:t>cbamonitor.cz</w:t>
        </w:r>
      </w:hyperlink>
      <w:r w:rsidRPr="00616069">
        <w:rPr>
          <w:rFonts w:ascii="Calibri" w:hAnsi="Calibri" w:cs="Calibri"/>
          <w:sz w:val="22"/>
          <w:szCs w:val="22"/>
        </w:rPr>
        <w:t>.</w:t>
      </w:r>
      <w:r w:rsidRPr="00616069">
        <w:rPr>
          <w:rFonts w:ascii="Calibri" w:hAnsi="Calibri" w:cs="Calibri"/>
          <w:i/>
          <w:iCs/>
          <w:sz w:val="20"/>
        </w:rPr>
        <w:t xml:space="preserve"> </w:t>
      </w:r>
    </w:p>
    <w:p w14:paraId="3F99F9FA" w14:textId="6DA0884C" w:rsidR="007F41A0" w:rsidRPr="00616069" w:rsidRDefault="007F41A0" w:rsidP="003417B4">
      <w:pPr>
        <w:rPr>
          <w:rFonts w:ascii="Calibri" w:hAnsi="Calibri" w:cs="Calibri"/>
          <w:sz w:val="22"/>
          <w:szCs w:val="22"/>
        </w:rPr>
      </w:pPr>
    </w:p>
    <w:p w14:paraId="4299C957" w14:textId="36BC1F78" w:rsidR="00B50D1B" w:rsidRPr="00616069" w:rsidRDefault="00B50D1B" w:rsidP="003417B4">
      <w:pPr>
        <w:rPr>
          <w:rFonts w:ascii="Calibri" w:hAnsi="Calibri" w:cs="Calibri"/>
          <w:sz w:val="22"/>
          <w:szCs w:val="22"/>
        </w:rPr>
      </w:pPr>
    </w:p>
    <w:p w14:paraId="6A100EFD" w14:textId="3381F438" w:rsidR="00100269" w:rsidRPr="00616069" w:rsidRDefault="00100269" w:rsidP="003417B4">
      <w:pPr>
        <w:rPr>
          <w:rFonts w:ascii="Calibri" w:hAnsi="Calibri" w:cs="Calibri"/>
          <w:sz w:val="22"/>
          <w:szCs w:val="22"/>
        </w:rPr>
      </w:pPr>
    </w:p>
    <w:p w14:paraId="5F378DF9" w14:textId="77777777" w:rsidR="00137560" w:rsidRPr="00616069" w:rsidRDefault="00137560" w:rsidP="00CA3B41">
      <w:pPr>
        <w:rPr>
          <w:rFonts w:ascii="Calibri" w:hAnsi="Calibri" w:cs="Calibri"/>
          <w:sz w:val="22"/>
          <w:szCs w:val="22"/>
        </w:rPr>
      </w:pPr>
    </w:p>
    <w:p w14:paraId="01290756" w14:textId="77777777" w:rsidR="00137560" w:rsidRPr="00616069" w:rsidRDefault="00137560" w:rsidP="00CA3B41">
      <w:pPr>
        <w:rPr>
          <w:rFonts w:ascii="Calibri" w:hAnsi="Calibri" w:cs="Calibri"/>
          <w:sz w:val="22"/>
          <w:szCs w:val="22"/>
        </w:rPr>
      </w:pPr>
    </w:p>
    <w:p w14:paraId="74E9F93F" w14:textId="77777777" w:rsidR="00137560" w:rsidRPr="00616069" w:rsidRDefault="00137560" w:rsidP="00CA3B41">
      <w:pPr>
        <w:rPr>
          <w:rFonts w:ascii="Calibri" w:hAnsi="Calibri" w:cs="Calibri"/>
          <w:sz w:val="22"/>
          <w:szCs w:val="22"/>
        </w:rPr>
      </w:pPr>
    </w:p>
    <w:p w14:paraId="75EDC910" w14:textId="77777777" w:rsidR="00137560" w:rsidRPr="00616069" w:rsidRDefault="00137560" w:rsidP="00CA3B41">
      <w:pPr>
        <w:rPr>
          <w:rFonts w:ascii="Calibri" w:hAnsi="Calibri" w:cs="Calibri"/>
          <w:sz w:val="22"/>
          <w:szCs w:val="22"/>
        </w:rPr>
      </w:pPr>
    </w:p>
    <w:p w14:paraId="4AE26056" w14:textId="77777777" w:rsidR="00137560" w:rsidRPr="00616069" w:rsidRDefault="00137560" w:rsidP="00CA3B41">
      <w:pPr>
        <w:rPr>
          <w:rFonts w:ascii="Calibri" w:hAnsi="Calibri" w:cs="Calibri"/>
          <w:sz w:val="22"/>
          <w:szCs w:val="22"/>
        </w:rPr>
      </w:pPr>
    </w:p>
    <w:p w14:paraId="146C6D89" w14:textId="77777777" w:rsidR="0028530F" w:rsidRPr="00B04FE2" w:rsidRDefault="004975FD" w:rsidP="00CA3B41">
      <w:pPr>
        <w:rPr>
          <w:rFonts w:ascii="Calibri" w:hAnsi="Calibri" w:cs="Calibri"/>
          <w:sz w:val="22"/>
          <w:szCs w:val="22"/>
        </w:rPr>
      </w:pPr>
      <w:r w:rsidRPr="00616069">
        <w:rPr>
          <w:rFonts w:ascii="Calibri" w:hAnsi="Calibri" w:cs="Calibri"/>
          <w:i/>
          <w:iCs/>
          <w:noProof/>
          <w:sz w:val="20"/>
        </w:rPr>
        <w:lastRenderedPageBreak/>
        <mc:AlternateContent>
          <mc:Choice Requires="wps">
            <w:drawing>
              <wp:anchor distT="45720" distB="45720" distL="114300" distR="114300" simplePos="0" relativeHeight="251668480" behindDoc="0" locked="0" layoutInCell="1" allowOverlap="1" wp14:anchorId="025DA650" wp14:editId="15515F89">
                <wp:simplePos x="0" y="0"/>
                <wp:positionH relativeFrom="margin">
                  <wp:align>center</wp:align>
                </wp:positionH>
                <wp:positionV relativeFrom="paragraph">
                  <wp:posOffset>282527</wp:posOffset>
                </wp:positionV>
                <wp:extent cx="6574790" cy="467550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4675505"/>
                        </a:xfrm>
                        <a:prstGeom prst="rect">
                          <a:avLst/>
                        </a:prstGeom>
                        <a:solidFill>
                          <a:srgbClr val="13576B">
                            <a:alpha val="83922"/>
                          </a:srgbClr>
                        </a:solidFill>
                        <a:ln w="9525">
                          <a:noFill/>
                          <a:miter lim="800000"/>
                          <a:headEnd/>
                          <a:tailEnd/>
                        </a:ln>
                      </wps:spPr>
                      <wps:txb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Metodika ČBA Hypomonitoru</w:t>
                            </w:r>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Hypomonitor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Jsou úvěry, jejichž celý objem poprvé vstupuje do ekonomiky. Do této kategorie nepatří konsolidace úvěrů anebo refinancování úvěrů. Dělí se do tří kategorií:</w:t>
                            </w:r>
                          </w:p>
                          <w:p w14:paraId="362AFB2A" w14:textId="77777777"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podílu,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Data pro ČBA Hypomonitor poskytují následující banky a stavební spořitelny: Air Bank, Česká spořitelna, ČSOB, ČSOB Stavební spořitelna, Fio banka, Hypoteční banka, Komerční banka, mBank, Modrá pyramida, MONETA Money Bank, MONETA Stavební spořitelna, Oberbank, Raiffeisen stavební spořitelna, Raiffeisenbank, Stavební spořitelna České spořitelny, UniCredit Bank.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DA650" id="_x0000_t202" coordsize="21600,21600" o:spt="202" path="m,l,21600r21600,l21600,xe">
                <v:stroke joinstyle="miter"/>
                <v:path gradientshapeok="t" o:connecttype="rect"/>
              </v:shapetype>
              <v:shape id="Textové pole 2" o:spid="_x0000_s1029" type="#_x0000_t202" style="position:absolute;left:0;text-align:left;margin-left:0;margin-top:22.25pt;width:517.7pt;height:368.1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" fillcolor="#13576b" stroked="f">
                <v:fill opacity="54998f"/>
                <v:textbo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Metodika ČBA Hypomonitoru</w:t>
                      </w:r>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Hypomonitor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Jsou úvěry, jejichž celý objem poprvé vstupuje do ekonomiky. Do této kategorie nepatří konsolidace úvěrů anebo refinancování úvěrů. Dělí se do tří kategorií:</w:t>
                      </w:r>
                    </w:p>
                    <w:p w14:paraId="362AFB2A" w14:textId="77777777"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podílu,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Data pro ČBA Hypomonitor poskytují následující banky a stavební spořitelny: Air Bank, Česká spořitelna, ČSOB, ČSOB Stavební spořitelna, Fio banka, Hypoteční banka, Komerční banka, mBank, Modrá pyramida, MONETA Money Bank, MONETA Stavební spořitelna, Oberbank, Raiffeisen stavební spořitelna, Raiffeisenbank, Stavební spořitelna České spořitelny, UniCredit Bank.</w:t>
                      </w:r>
                    </w:p>
                  </w:txbxContent>
                </v:textbox>
                <w10:wrap type="square" anchorx="margin"/>
              </v:shape>
            </w:pict>
          </mc:Fallback>
        </mc:AlternateContent>
      </w:r>
    </w:p>
    <w:tbl>
      <w:tblPr>
        <w:tblStyle w:val="Mkatabulky"/>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7"/>
        <w:gridCol w:w="3384"/>
      </w:tblGrid>
      <w:tr w:rsidR="0028530F" w:rsidRPr="00D80B55" w14:paraId="4825E599" w14:textId="77777777" w:rsidTr="001B1140">
        <w:trPr>
          <w:trHeight w:val="1364"/>
        </w:trPr>
        <w:tc>
          <w:tcPr>
            <w:tcW w:w="6817" w:type="dxa"/>
            <w:shd w:val="clear" w:color="auto" w:fill="13576B"/>
          </w:tcPr>
          <w:p w14:paraId="1EB2DC0A" w14:textId="77777777" w:rsidR="0028530F" w:rsidRPr="00D80B55" w:rsidRDefault="0028530F" w:rsidP="001B1140">
            <w:pPr>
              <w:pStyle w:val="CBANadpisvTABULCE"/>
              <w:jc w:val="both"/>
              <w:rPr>
                <w:rFonts w:cs="Arial"/>
                <w:color w:val="FFFFFF" w:themeColor="background1"/>
                <w:szCs w:val="18"/>
              </w:rPr>
            </w:pPr>
            <w:r w:rsidRPr="00D80B55">
              <w:rPr>
                <w:rFonts w:cs="Arial"/>
                <w:color w:val="FFFFFF" w:themeColor="background1"/>
                <w:szCs w:val="18"/>
              </w:rPr>
              <w:t>O České bankovní asociaci</w:t>
            </w:r>
          </w:p>
          <w:p w14:paraId="4EB0391C" w14:textId="376AE2CD" w:rsidR="0028530F" w:rsidRPr="00D80B55" w:rsidRDefault="0028530F" w:rsidP="001B1140">
            <w:pPr>
              <w:rPr>
                <w:rFonts w:cs="Arial"/>
                <w:color w:val="FFFFFF" w:themeColor="background1"/>
                <w:sz w:val="22"/>
              </w:rPr>
            </w:pPr>
            <w:r w:rsidRPr="00D80B55">
              <w:rPr>
                <w:rFonts w:cs="Arial"/>
                <w:color w:val="FFFFFF" w:themeColor="background1"/>
              </w:rPr>
              <w:t>Česká bankovní asociace (ČBA) je dobrovolné sdružení 3</w:t>
            </w:r>
            <w:r>
              <w:rPr>
                <w:rFonts w:cs="Arial"/>
                <w:color w:val="FFFFFF" w:themeColor="background1"/>
              </w:rPr>
              <w:t>3</w:t>
            </w:r>
            <w:r w:rsidRPr="00D80B55">
              <w:rPr>
                <w:rFonts w:cs="Arial"/>
                <w:color w:val="FFFFFF" w:themeColor="background1"/>
              </w:rPr>
              <w:t xml:space="preserve"> bank, které v ČR působí a reprezentuje tak 99 % trhu. </w:t>
            </w:r>
            <w:r>
              <w:rPr>
                <w:rFonts w:cs="Arial"/>
                <w:color w:val="FFFFFF" w:themeColor="background1"/>
              </w:rPr>
              <w:t>Více než</w:t>
            </w:r>
            <w:r w:rsidRPr="00D80B55">
              <w:rPr>
                <w:rFonts w:cs="Arial"/>
                <w:color w:val="FFFFFF" w:themeColor="background1"/>
              </w:rPr>
              <w:t xml:space="preserve"> 30 let podporuje nejen rozvoj bankovního sektoru, ale i celé ekonomiky a všeobecné finanční gramotnosti. ČBA je členem Evropské bankovní federace (EBF).</w:t>
            </w:r>
          </w:p>
          <w:p w14:paraId="598BB9F7" w14:textId="77777777" w:rsidR="0028530F" w:rsidRPr="00D80B55" w:rsidRDefault="0028530F" w:rsidP="001B1140">
            <w:pPr>
              <w:pStyle w:val="CBAodstavecvTABULCE"/>
              <w:jc w:val="both"/>
              <w:rPr>
                <w:rFonts w:cs="Arial"/>
                <w:color w:val="FFFFFF" w:themeColor="background1"/>
                <w:szCs w:val="18"/>
              </w:rPr>
            </w:pPr>
            <w:r w:rsidRPr="00D80B55">
              <w:rPr>
                <w:rFonts w:cs="Arial"/>
                <w:color w:val="FFFFFF" w:themeColor="background1"/>
                <w:szCs w:val="18"/>
              </w:rPr>
              <w:t xml:space="preserve">Více informací na </w:t>
            </w:r>
            <w:r w:rsidRPr="00D80B55">
              <w:rPr>
                <w:rFonts w:cs="Arial"/>
                <w:color w:val="FFFFFF" w:themeColor="background1"/>
                <w:szCs w:val="18"/>
                <w:u w:val="single"/>
              </w:rPr>
              <w:t>www.cbaonline.cz.</w:t>
            </w:r>
            <w:r w:rsidRPr="00D80B55">
              <w:rPr>
                <w:rFonts w:cs="Arial"/>
                <w:color w:val="A9936D"/>
                <w:szCs w:val="18"/>
              </w:rPr>
              <w:t xml:space="preserve"> </w:t>
            </w:r>
          </w:p>
        </w:tc>
        <w:tc>
          <w:tcPr>
            <w:tcW w:w="3384" w:type="dxa"/>
            <w:shd w:val="clear" w:color="auto" w:fill="A9936D"/>
            <w:vAlign w:val="center"/>
          </w:tcPr>
          <w:p w14:paraId="606A2DEB" w14:textId="77777777" w:rsidR="0028530F" w:rsidRPr="00D80B55" w:rsidRDefault="0028530F" w:rsidP="001B1140">
            <w:pPr>
              <w:pStyle w:val="CBAodstavecvTABULCE"/>
              <w:rPr>
                <w:rFonts w:cs="Arial"/>
                <w:b/>
                <w:bCs/>
                <w:color w:val="FFFFFF" w:themeColor="background1"/>
                <w:szCs w:val="18"/>
              </w:rPr>
            </w:pPr>
            <w:r w:rsidRPr="00D80B55">
              <w:rPr>
                <w:rFonts w:cs="Arial"/>
                <w:b/>
                <w:bCs/>
                <w:color w:val="FFFFFF" w:themeColor="background1"/>
                <w:szCs w:val="18"/>
              </w:rPr>
              <w:t xml:space="preserve">                Dotazy posílejte na</w:t>
            </w:r>
          </w:p>
          <w:p w14:paraId="64706D81" w14:textId="77777777" w:rsidR="0028530F" w:rsidRPr="00D80B55" w:rsidRDefault="0028530F" w:rsidP="001B1140">
            <w:pPr>
              <w:pStyle w:val="CBAodstavecvTABULCE"/>
              <w:jc w:val="center"/>
              <w:rPr>
                <w:rFonts w:cs="Arial"/>
                <w:color w:val="FFFFFF" w:themeColor="background1"/>
                <w:szCs w:val="18"/>
              </w:rPr>
            </w:pPr>
            <w:r w:rsidRPr="00D80B55">
              <w:rPr>
                <w:rFonts w:cs="Arial"/>
                <w:b/>
                <w:bCs/>
                <w:color w:val="FFFFFF" w:themeColor="background1"/>
                <w:szCs w:val="18"/>
              </w:rPr>
              <w:t>radek.salsa@cbaonline.cz</w:t>
            </w:r>
          </w:p>
        </w:tc>
      </w:tr>
    </w:tbl>
    <w:p w14:paraId="79952D08" w14:textId="7B44AB4C" w:rsidR="00C42F00" w:rsidRPr="00B04FE2" w:rsidRDefault="00C42F00" w:rsidP="00CA3B41">
      <w:pPr>
        <w:rPr>
          <w:rFonts w:ascii="Calibri" w:hAnsi="Calibri" w:cs="Calibri"/>
          <w:sz w:val="22"/>
          <w:szCs w:val="22"/>
        </w:rPr>
      </w:pPr>
    </w:p>
    <w:sectPr w:rsidR="00C42F00" w:rsidRPr="00B04FE2" w:rsidSect="000C6834">
      <w:headerReference w:type="default" r:id="rId19"/>
      <w:footerReference w:type="default" r:id="rId20"/>
      <w:pgSz w:w="11906" w:h="16838"/>
      <w:pgMar w:top="2552" w:right="849" w:bottom="1560"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44B0" w14:textId="77777777" w:rsidR="002A787C" w:rsidRPr="00616069" w:rsidRDefault="002A787C" w:rsidP="00F573F1">
      <w:r w:rsidRPr="00616069">
        <w:separator/>
      </w:r>
    </w:p>
  </w:endnote>
  <w:endnote w:type="continuationSeparator" w:id="0">
    <w:p w14:paraId="5345A0F9" w14:textId="77777777" w:rsidR="002A787C" w:rsidRPr="00616069" w:rsidRDefault="002A787C" w:rsidP="00F573F1">
      <w:r w:rsidRPr="006160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690799"/>
      <w:docPartObj>
        <w:docPartGallery w:val="Page Numbers (Bottom of Page)"/>
        <w:docPartUnique/>
      </w:docPartObj>
    </w:sdtPr>
    <w:sdtContent>
      <w:sdt>
        <w:sdtPr>
          <w:id w:val="-1769616900"/>
          <w:docPartObj>
            <w:docPartGallery w:val="Page Numbers (Top of Page)"/>
            <w:docPartUnique/>
          </w:docPartObj>
        </w:sdtPr>
        <w:sdtContent>
          <w:p w14:paraId="5E2EB97C" w14:textId="697C5AC2" w:rsidR="001E31AB" w:rsidRPr="00616069" w:rsidRDefault="001E31AB">
            <w:pPr>
              <w:pStyle w:val="Zpat"/>
              <w:jc w:val="right"/>
            </w:pPr>
            <w:r w:rsidRPr="00616069">
              <w:rPr>
                <w:rFonts w:ascii="Calibri" w:hAnsi="Calibri"/>
                <w:noProof/>
                <w:szCs w:val="18"/>
                <w:lang w:eastAsia="en-GB"/>
              </w:rPr>
              <w:drawing>
                <wp:anchor distT="0" distB="0" distL="114300" distR="114300" simplePos="0" relativeHeight="251655680" behindDoc="0" locked="0" layoutInCell="1" allowOverlap="1" wp14:anchorId="7B2A8544" wp14:editId="09B386F6">
                  <wp:simplePos x="0" y="0"/>
                  <wp:positionH relativeFrom="column">
                    <wp:posOffset>-540385</wp:posOffset>
                  </wp:positionH>
                  <wp:positionV relativeFrom="paragraph">
                    <wp:posOffset>-365760</wp:posOffset>
                  </wp:positionV>
                  <wp:extent cx="3042285" cy="701040"/>
                  <wp:effectExtent l="0" t="0" r="5715"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1" cstate="print">
                            <a:extLst>
                              <a:ext uri="{28A0092B-C50C-407E-A947-70E740481C1C}">
                                <a14:useLocalDpi xmlns:a14="http://schemas.microsoft.com/office/drawing/2010/main" val="0"/>
                              </a:ext>
                            </a:extLst>
                          </a:blip>
                          <a:srcRect l="-1309" t="94992" r="61095" b="-1544"/>
                          <a:stretch/>
                        </pic:blipFill>
                        <pic:spPr bwMode="auto">
                          <a:xfrm>
                            <a:off x="0" y="0"/>
                            <a:ext cx="3042285" cy="70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069">
              <w:rPr>
                <w:rFonts w:ascii="Calibri" w:hAnsi="Calibri"/>
                <w:szCs w:val="18"/>
              </w:rPr>
              <w:t xml:space="preserve">Stránka </w:t>
            </w:r>
            <w:r w:rsidRPr="00616069">
              <w:rPr>
                <w:rFonts w:ascii="Calibri" w:hAnsi="Calibri"/>
                <w:b/>
                <w:bCs/>
                <w:szCs w:val="18"/>
              </w:rPr>
              <w:fldChar w:fldCharType="begin"/>
            </w:r>
            <w:r w:rsidRPr="00616069">
              <w:rPr>
                <w:rFonts w:ascii="Calibri" w:hAnsi="Calibri"/>
                <w:b/>
                <w:bCs/>
                <w:szCs w:val="18"/>
              </w:rPr>
              <w:instrText>PAGE</w:instrText>
            </w:r>
            <w:r w:rsidRPr="00616069">
              <w:rPr>
                <w:rFonts w:ascii="Calibri" w:hAnsi="Calibri"/>
                <w:b/>
                <w:bCs/>
                <w:szCs w:val="18"/>
              </w:rPr>
              <w:fldChar w:fldCharType="separate"/>
            </w:r>
            <w:r w:rsidR="005F4B41" w:rsidRPr="00616069">
              <w:rPr>
                <w:rFonts w:ascii="Calibri" w:hAnsi="Calibri"/>
                <w:b/>
                <w:bCs/>
                <w:szCs w:val="18"/>
              </w:rPr>
              <w:t>1</w:t>
            </w:r>
            <w:r w:rsidRPr="00616069">
              <w:rPr>
                <w:rFonts w:ascii="Calibri" w:hAnsi="Calibri"/>
                <w:b/>
                <w:bCs/>
                <w:szCs w:val="18"/>
              </w:rPr>
              <w:fldChar w:fldCharType="end"/>
            </w:r>
            <w:r w:rsidRPr="00616069">
              <w:rPr>
                <w:rFonts w:ascii="Calibri" w:hAnsi="Calibri"/>
                <w:szCs w:val="18"/>
              </w:rPr>
              <w:t xml:space="preserve"> z </w:t>
            </w:r>
            <w:r w:rsidRPr="00616069">
              <w:rPr>
                <w:rFonts w:ascii="Calibri" w:hAnsi="Calibri"/>
                <w:b/>
                <w:bCs/>
                <w:szCs w:val="18"/>
              </w:rPr>
              <w:fldChar w:fldCharType="begin"/>
            </w:r>
            <w:r w:rsidRPr="00616069">
              <w:rPr>
                <w:rFonts w:ascii="Calibri" w:hAnsi="Calibri"/>
                <w:b/>
                <w:bCs/>
                <w:szCs w:val="18"/>
              </w:rPr>
              <w:instrText>NUMPAGES</w:instrText>
            </w:r>
            <w:r w:rsidRPr="00616069">
              <w:rPr>
                <w:rFonts w:ascii="Calibri" w:hAnsi="Calibri"/>
                <w:b/>
                <w:bCs/>
                <w:szCs w:val="18"/>
              </w:rPr>
              <w:fldChar w:fldCharType="separate"/>
            </w:r>
            <w:r w:rsidR="005F4B41" w:rsidRPr="00616069">
              <w:rPr>
                <w:rFonts w:ascii="Calibri" w:hAnsi="Calibri"/>
                <w:b/>
                <w:bCs/>
                <w:szCs w:val="18"/>
              </w:rPr>
              <w:t>2</w:t>
            </w:r>
            <w:r w:rsidRPr="00616069">
              <w:rPr>
                <w:rFonts w:ascii="Calibri" w:hAnsi="Calibri"/>
                <w:b/>
                <w:bCs/>
                <w:szCs w:val="18"/>
              </w:rPr>
              <w:fldChar w:fldCharType="end"/>
            </w:r>
          </w:p>
        </w:sdtContent>
      </w:sdt>
    </w:sdtContent>
  </w:sdt>
  <w:p w14:paraId="300EB588" w14:textId="24FF51AB" w:rsidR="0065124E" w:rsidRPr="00616069" w:rsidRDefault="0065124E" w:rsidP="00FB4A1C">
    <w:pPr>
      <w:pStyle w:val="Zpat"/>
      <w:tabs>
        <w:tab w:val="clear" w:pos="4536"/>
        <w:tab w:val="clear" w:pos="9072"/>
        <w:tab w:val="left" w:pos="6080"/>
      </w:tabs>
      <w:rPr>
        <w:color w:val="A6A6A6" w:themeColor="background1" w:themeShade="A6"/>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730E9" w14:textId="77777777" w:rsidR="002A787C" w:rsidRPr="00616069" w:rsidRDefault="002A787C" w:rsidP="00F573F1">
      <w:r w:rsidRPr="00616069">
        <w:separator/>
      </w:r>
    </w:p>
  </w:footnote>
  <w:footnote w:type="continuationSeparator" w:id="0">
    <w:p w14:paraId="56BB2695" w14:textId="77777777" w:rsidR="002A787C" w:rsidRPr="00616069" w:rsidRDefault="002A787C" w:rsidP="00F573F1">
      <w:r w:rsidRPr="00616069">
        <w:continuationSeparator/>
      </w:r>
    </w:p>
  </w:footnote>
  <w:footnote w:id="1">
    <w:p w14:paraId="46AEBF1F" w14:textId="77777777" w:rsidR="00F94C20" w:rsidRPr="00616069" w:rsidRDefault="00F94C20" w:rsidP="00F94C20">
      <w:pPr>
        <w:pStyle w:val="Textpoznpodarou"/>
        <w:rPr>
          <w:rFonts w:ascii="Calibri" w:hAnsi="Calibri" w:cs="Calibri"/>
          <w:sz w:val="17"/>
          <w:szCs w:val="17"/>
        </w:rPr>
      </w:pPr>
      <w:r w:rsidRPr="00616069">
        <w:rPr>
          <w:rStyle w:val="Znakapoznpodarou"/>
          <w:rFonts w:ascii="Calibri" w:hAnsi="Calibri" w:cs="Calibri"/>
          <w:sz w:val="17"/>
          <w:szCs w:val="17"/>
        </w:rPr>
        <w:footnoteRef/>
      </w:r>
      <w:r w:rsidRPr="00616069">
        <w:rPr>
          <w:rFonts w:ascii="Calibri" w:hAnsi="Calibri" w:cs="Calibri"/>
          <w:sz w:val="17"/>
          <w:szCs w:val="17"/>
        </w:rPr>
        <w:t xml:space="preserve"> </w:t>
      </w:r>
      <w:r w:rsidRPr="00616069">
        <w:rPr>
          <w:rFonts w:asciiTheme="majorHAnsi" w:hAnsiTheme="majorHAnsi" w:cstheme="majorHAnsi"/>
          <w:sz w:val="17"/>
          <w:szCs w:val="17"/>
        </w:rPr>
        <w:t xml:space="preserve">Jedná se především o dlouholeté úrokové swapy (interest rate swap, IRS), které odráží cenu peněz v delších splatnostech, například </w:t>
      </w:r>
      <w:r>
        <w:rPr>
          <w:rFonts w:asciiTheme="majorHAnsi" w:hAnsiTheme="majorHAnsi" w:cstheme="majorHAnsi"/>
          <w:sz w:val="17"/>
          <w:szCs w:val="17"/>
        </w:rPr>
        <w:t>2</w:t>
      </w:r>
      <w:r w:rsidRPr="00616069">
        <w:rPr>
          <w:rFonts w:asciiTheme="majorHAnsi" w:hAnsiTheme="majorHAnsi" w:cstheme="majorHAnsi"/>
          <w:sz w:val="17"/>
          <w:szCs w:val="17"/>
        </w:rPr>
        <w:t xml:space="preserve"> až 10 let.</w:t>
      </w:r>
    </w:p>
  </w:footnote>
  <w:footnote w:id="2">
    <w:p w14:paraId="3F408451" w14:textId="77777777" w:rsidR="00952AEF" w:rsidRPr="00952AEF" w:rsidRDefault="00952AEF" w:rsidP="00952AEF">
      <w:pPr>
        <w:pStyle w:val="Textpoznpodarou"/>
        <w:rPr>
          <w:rFonts w:asciiTheme="majorHAnsi" w:hAnsiTheme="majorHAnsi" w:cstheme="majorHAnsi"/>
          <w:sz w:val="17"/>
          <w:szCs w:val="17"/>
        </w:rPr>
      </w:pPr>
      <w:r w:rsidRPr="00616069">
        <w:rPr>
          <w:rStyle w:val="Znakapoznpodarou"/>
        </w:rPr>
        <w:footnoteRef/>
      </w:r>
      <w:r w:rsidRPr="00616069">
        <w:t xml:space="preserve"> </w:t>
      </w:r>
      <w:r w:rsidRPr="00616069">
        <w:rPr>
          <w:rFonts w:asciiTheme="majorHAnsi" w:hAnsiTheme="majorHAnsi" w:cstheme="majorHAnsi"/>
          <w:sz w:val="17"/>
          <w:szCs w:val="17"/>
        </w:rPr>
        <w:t>Tabulka je k dispozici v souboru xls přiloženém na webových stránkách ČBA Hypomonitoru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4485" w14:textId="25969B31" w:rsidR="0065124E" w:rsidRPr="00616069" w:rsidRDefault="00A86552">
    <w:pPr>
      <w:pStyle w:val="Zhlav"/>
    </w:pPr>
    <w:r w:rsidRPr="00616069">
      <w:rPr>
        <w:rFonts w:cs="Arial"/>
        <w:noProof/>
        <w:lang w:eastAsia="en-GB"/>
      </w:rPr>
      <mc:AlternateContent>
        <mc:Choice Requires="wps">
          <w:drawing>
            <wp:anchor distT="45720" distB="45720" distL="114300" distR="114300" simplePos="0" relativeHeight="251668480" behindDoc="0" locked="0" layoutInCell="1" allowOverlap="1" wp14:anchorId="1DCC7344" wp14:editId="2F0B41DB">
              <wp:simplePos x="0" y="0"/>
              <wp:positionH relativeFrom="margin">
                <wp:posOffset>2228694</wp:posOffset>
              </wp:positionH>
              <wp:positionV relativeFrom="paragraph">
                <wp:posOffset>214019</wp:posOffset>
              </wp:positionV>
              <wp:extent cx="2941608" cy="140462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608" cy="1404620"/>
                      </a:xfrm>
                      <a:prstGeom prst="rect">
                        <a:avLst/>
                      </a:prstGeom>
                      <a:noFill/>
                      <a:ln w="9525">
                        <a:noFill/>
                        <a:miter lim="800000"/>
                        <a:headEnd/>
                        <a:tailEnd/>
                      </a:ln>
                    </wps:spPr>
                    <wps:txbx>
                      <w:txbxContent>
                        <w:p w14:paraId="24986907" w14:textId="10746179" w:rsidR="00A86552" w:rsidRPr="00616069" w:rsidRDefault="00A86552" w:rsidP="00A86552">
                          <w:pPr>
                            <w:spacing w:line="276" w:lineRule="auto"/>
                            <w:jc w:val="right"/>
                            <w:rPr>
                              <w:rFonts w:ascii="Calibri" w:hAnsi="Calibri" w:cs="Calibri"/>
                              <w:b/>
                              <w:color w:val="FF0000"/>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C7344" id="_x0000_t202" coordsize="21600,21600" o:spt="202" path="m,l,21600r21600,l21600,xe">
              <v:stroke joinstyle="miter"/>
              <v:path gradientshapeok="t" o:connecttype="rect"/>
            </v:shapetype>
            <v:shape id="_x0000_s1030" type="#_x0000_t202" style="position:absolute;left:0;text-align:left;margin-left:175.5pt;margin-top:16.85pt;width:231.6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Be+g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" filled="f" stroked="f">
              <v:textbox style="mso-fit-shape-to-text:t">
                <w:txbxContent>
                  <w:p w14:paraId="24986907" w14:textId="10746179" w:rsidR="00A86552" w:rsidRPr="00616069" w:rsidRDefault="00A86552" w:rsidP="00A86552">
                    <w:pPr>
                      <w:spacing w:line="276" w:lineRule="auto"/>
                      <w:jc w:val="right"/>
                      <w:rPr>
                        <w:rFonts w:ascii="Calibri" w:hAnsi="Calibri" w:cs="Calibri"/>
                        <w:b/>
                        <w:color w:val="FF0000"/>
                        <w:sz w:val="40"/>
                        <w:szCs w:val="40"/>
                      </w:rPr>
                    </w:pPr>
                  </w:p>
                </w:txbxContent>
              </v:textbox>
              <w10:wrap anchorx="margin"/>
            </v:shape>
          </w:pict>
        </mc:Fallback>
      </mc:AlternateContent>
    </w:r>
    <w:r w:rsidR="00744C66" w:rsidRPr="00616069">
      <w:rPr>
        <w:noProof/>
        <w:lang w:eastAsia="en-GB"/>
      </w:rPr>
      <w:drawing>
        <wp:anchor distT="0" distB="0" distL="114300" distR="114300" simplePos="0" relativeHeight="251660288" behindDoc="0" locked="0" layoutInCell="1" allowOverlap="1" wp14:anchorId="197D896D" wp14:editId="7A6FB449">
          <wp:simplePos x="0" y="0"/>
          <wp:positionH relativeFrom="column">
            <wp:posOffset>-52705</wp:posOffset>
          </wp:positionH>
          <wp:positionV relativeFrom="paragraph">
            <wp:posOffset>29845</wp:posOffset>
          </wp:positionV>
          <wp:extent cx="2209800" cy="77851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8510"/>
                  </a:xfrm>
                  <a:prstGeom prst="rect">
                    <a:avLst/>
                  </a:prstGeom>
                  <a:noFill/>
                  <a:ln>
                    <a:noFill/>
                  </a:ln>
                </pic:spPr>
              </pic:pic>
            </a:graphicData>
          </a:graphic>
        </wp:anchor>
      </w:drawing>
    </w:r>
    <w:r w:rsidR="002D4720" w:rsidRPr="00616069">
      <w:rPr>
        <w:noProof/>
        <w:lang w:eastAsia="en-GB"/>
      </w:rPr>
      <w:drawing>
        <wp:anchor distT="0" distB="0" distL="114300" distR="114300" simplePos="0" relativeHeight="251664384" behindDoc="1" locked="0" layoutInCell="1" allowOverlap="1" wp14:anchorId="2A1D7AA9" wp14:editId="7A7B0A01">
          <wp:simplePos x="0" y="0"/>
          <wp:positionH relativeFrom="column">
            <wp:posOffset>3985895</wp:posOffset>
          </wp:positionH>
          <wp:positionV relativeFrom="paragraph">
            <wp:posOffset>-8255</wp:posOffset>
          </wp:positionV>
          <wp:extent cx="2943225" cy="243840"/>
          <wp:effectExtent l="0" t="0" r="9525" b="381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2" cstate="print">
                    <a:extLst>
                      <a:ext uri="{28A0092B-C50C-407E-A947-70E740481C1C}">
                        <a14:useLocalDpi xmlns:a14="http://schemas.microsoft.com/office/drawing/2010/main" val="0"/>
                      </a:ext>
                    </a:extLst>
                  </a:blip>
                  <a:srcRect t="94992" r="61096" b="2729"/>
                  <a:stretch/>
                </pic:blipFill>
                <pic:spPr bwMode="auto">
                  <a:xfrm>
                    <a:off x="0" y="0"/>
                    <a:ext cx="2943225" cy="243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720" w:rsidRPr="00616069">
      <w:rPr>
        <w:rFonts w:cs="Arial"/>
        <w:noProof/>
        <w:lang w:eastAsia="en-GB"/>
      </w:rPr>
      <mc:AlternateContent>
        <mc:Choice Requires="wps">
          <w:drawing>
            <wp:anchor distT="45720" distB="45720" distL="114300" distR="114300" simplePos="0" relativeHeight="251662336" behindDoc="0" locked="0" layoutInCell="1" allowOverlap="1" wp14:anchorId="126DE097" wp14:editId="755E40ED">
              <wp:simplePos x="0" y="0"/>
              <wp:positionH relativeFrom="margin">
                <wp:posOffset>5238115</wp:posOffset>
              </wp:positionH>
              <wp:positionV relativeFrom="paragraph">
                <wp:posOffset>153035</wp:posOffset>
              </wp:positionV>
              <wp:extent cx="1239520" cy="140462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404620"/>
                      </a:xfrm>
                      <a:prstGeom prst="rect">
                        <a:avLst/>
                      </a:prstGeom>
                      <a:noFill/>
                      <a:ln w="9525">
                        <a:noFill/>
                        <a:miter lim="800000"/>
                        <a:headEnd/>
                        <a:tailEnd/>
                      </a:ln>
                    </wps:spPr>
                    <wps:txbx>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38466BA1" w:rsidR="002D4720" w:rsidRPr="00616069" w:rsidRDefault="007F41A0" w:rsidP="002138C0">
                          <w:pPr>
                            <w:spacing w:line="276" w:lineRule="auto"/>
                            <w:jc w:val="right"/>
                            <w:rPr>
                              <w:rFonts w:ascii="Calibri" w:hAnsi="Calibri" w:cs="Calibri"/>
                              <w:b/>
                              <w:color w:val="13576B"/>
                              <w:sz w:val="20"/>
                              <w:szCs w:val="22"/>
                            </w:rPr>
                          </w:pPr>
                          <w:r w:rsidRPr="00616069">
                            <w:rPr>
                              <w:rFonts w:ascii="Calibri" w:hAnsi="Calibri" w:cs="Calibri"/>
                              <w:color w:val="13576B"/>
                              <w:sz w:val="20"/>
                              <w:szCs w:val="22"/>
                            </w:rPr>
                            <w:t xml:space="preserve">            </w:t>
                          </w:r>
                          <w:r w:rsidR="002138C0">
                            <w:rPr>
                              <w:rFonts w:ascii="Calibri" w:hAnsi="Calibri" w:cs="Calibri"/>
                              <w:color w:val="13576B"/>
                              <w:sz w:val="20"/>
                              <w:szCs w:val="22"/>
                            </w:rPr>
                            <w:t>1</w:t>
                          </w:r>
                          <w:r w:rsidR="00287580">
                            <w:rPr>
                              <w:rFonts w:ascii="Calibri" w:hAnsi="Calibri" w:cs="Calibri"/>
                              <w:color w:val="13576B"/>
                              <w:sz w:val="20"/>
                              <w:szCs w:val="22"/>
                            </w:rPr>
                            <w:t>4</w:t>
                          </w:r>
                          <w:r w:rsidR="002D4720" w:rsidRPr="00616069">
                            <w:rPr>
                              <w:rFonts w:ascii="Calibri" w:hAnsi="Calibri" w:cs="Calibri"/>
                              <w:color w:val="13576B"/>
                              <w:sz w:val="20"/>
                              <w:szCs w:val="22"/>
                            </w:rPr>
                            <w:t>.</w:t>
                          </w:r>
                          <w:r w:rsidR="000B064D">
                            <w:rPr>
                              <w:rFonts w:ascii="Calibri" w:hAnsi="Calibri" w:cs="Calibri"/>
                              <w:color w:val="13576B"/>
                              <w:sz w:val="20"/>
                              <w:szCs w:val="22"/>
                            </w:rPr>
                            <w:t>4</w:t>
                          </w:r>
                          <w:r w:rsidR="002D4720" w:rsidRPr="00616069">
                            <w:rPr>
                              <w:rFonts w:ascii="Calibri" w:hAnsi="Calibri" w:cs="Calibri"/>
                              <w:color w:val="13576B"/>
                              <w:sz w:val="20"/>
                              <w:szCs w:val="22"/>
                            </w:rPr>
                            <w:t>.202</w:t>
                          </w:r>
                          <w:r w:rsidR="002138C0">
                            <w:rPr>
                              <w:rFonts w:ascii="Calibri" w:hAnsi="Calibri" w:cs="Calibri"/>
                              <w:color w:val="13576B"/>
                              <w:sz w:val="20"/>
                              <w:szCs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DE097" id="_x0000_s1031" type="#_x0000_t202" style="position:absolute;left:0;text-align:left;margin-left:412.45pt;margin-top:12.05pt;width:97.6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" filled="f" stroked="f">
              <v:textbox style="mso-fit-shape-to-text:t">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38466BA1" w:rsidR="002D4720" w:rsidRPr="00616069" w:rsidRDefault="007F41A0" w:rsidP="002138C0">
                    <w:pPr>
                      <w:spacing w:line="276" w:lineRule="auto"/>
                      <w:jc w:val="right"/>
                      <w:rPr>
                        <w:rFonts w:ascii="Calibri" w:hAnsi="Calibri" w:cs="Calibri"/>
                        <w:b/>
                        <w:color w:val="13576B"/>
                        <w:sz w:val="20"/>
                        <w:szCs w:val="22"/>
                      </w:rPr>
                    </w:pPr>
                    <w:r w:rsidRPr="00616069">
                      <w:rPr>
                        <w:rFonts w:ascii="Calibri" w:hAnsi="Calibri" w:cs="Calibri"/>
                        <w:color w:val="13576B"/>
                        <w:sz w:val="20"/>
                        <w:szCs w:val="22"/>
                      </w:rPr>
                      <w:t xml:space="preserve">            </w:t>
                    </w:r>
                    <w:r w:rsidR="002138C0">
                      <w:rPr>
                        <w:rFonts w:ascii="Calibri" w:hAnsi="Calibri" w:cs="Calibri"/>
                        <w:color w:val="13576B"/>
                        <w:sz w:val="20"/>
                        <w:szCs w:val="22"/>
                      </w:rPr>
                      <w:t>1</w:t>
                    </w:r>
                    <w:r w:rsidR="00287580">
                      <w:rPr>
                        <w:rFonts w:ascii="Calibri" w:hAnsi="Calibri" w:cs="Calibri"/>
                        <w:color w:val="13576B"/>
                        <w:sz w:val="20"/>
                        <w:szCs w:val="22"/>
                      </w:rPr>
                      <w:t>4</w:t>
                    </w:r>
                    <w:r w:rsidR="002D4720" w:rsidRPr="00616069">
                      <w:rPr>
                        <w:rFonts w:ascii="Calibri" w:hAnsi="Calibri" w:cs="Calibri"/>
                        <w:color w:val="13576B"/>
                        <w:sz w:val="20"/>
                        <w:szCs w:val="22"/>
                      </w:rPr>
                      <w:t>.</w:t>
                    </w:r>
                    <w:r w:rsidR="000B064D">
                      <w:rPr>
                        <w:rFonts w:ascii="Calibri" w:hAnsi="Calibri" w:cs="Calibri"/>
                        <w:color w:val="13576B"/>
                        <w:sz w:val="20"/>
                        <w:szCs w:val="22"/>
                      </w:rPr>
                      <w:t>4</w:t>
                    </w:r>
                    <w:r w:rsidR="002D4720" w:rsidRPr="00616069">
                      <w:rPr>
                        <w:rFonts w:ascii="Calibri" w:hAnsi="Calibri" w:cs="Calibri"/>
                        <w:color w:val="13576B"/>
                        <w:sz w:val="20"/>
                        <w:szCs w:val="22"/>
                      </w:rPr>
                      <w:t>.202</w:t>
                    </w:r>
                    <w:r w:rsidR="002138C0">
                      <w:rPr>
                        <w:rFonts w:ascii="Calibri" w:hAnsi="Calibri" w:cs="Calibri"/>
                        <w:color w:val="13576B"/>
                        <w:sz w:val="20"/>
                        <w:szCs w:val="22"/>
                      </w:rPr>
                      <w:t>5</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9A1"/>
    <w:multiLevelType w:val="hybridMultilevel"/>
    <w:tmpl w:val="28EA1BD4"/>
    <w:lvl w:ilvl="0" w:tplc="F8600AFA">
      <w:start w:val="1"/>
      <w:numFmt w:val="bullet"/>
      <w:lvlText w:val="•"/>
      <w:lvlJc w:val="left"/>
      <w:pPr>
        <w:tabs>
          <w:tab w:val="num" w:pos="720"/>
        </w:tabs>
        <w:ind w:left="720" w:hanging="360"/>
      </w:pPr>
      <w:rPr>
        <w:rFonts w:ascii="Arial" w:hAnsi="Arial" w:hint="default"/>
      </w:rPr>
    </w:lvl>
    <w:lvl w:ilvl="1" w:tplc="9954B5E4" w:tentative="1">
      <w:start w:val="1"/>
      <w:numFmt w:val="bullet"/>
      <w:lvlText w:val="•"/>
      <w:lvlJc w:val="left"/>
      <w:pPr>
        <w:tabs>
          <w:tab w:val="num" w:pos="1440"/>
        </w:tabs>
        <w:ind w:left="1440" w:hanging="360"/>
      </w:pPr>
      <w:rPr>
        <w:rFonts w:ascii="Arial" w:hAnsi="Arial" w:hint="default"/>
      </w:rPr>
    </w:lvl>
    <w:lvl w:ilvl="2" w:tplc="62304CC8" w:tentative="1">
      <w:start w:val="1"/>
      <w:numFmt w:val="bullet"/>
      <w:lvlText w:val="•"/>
      <w:lvlJc w:val="left"/>
      <w:pPr>
        <w:tabs>
          <w:tab w:val="num" w:pos="2160"/>
        </w:tabs>
        <w:ind w:left="2160" w:hanging="360"/>
      </w:pPr>
      <w:rPr>
        <w:rFonts w:ascii="Arial" w:hAnsi="Arial" w:hint="default"/>
      </w:rPr>
    </w:lvl>
    <w:lvl w:ilvl="3" w:tplc="0CA22174" w:tentative="1">
      <w:start w:val="1"/>
      <w:numFmt w:val="bullet"/>
      <w:lvlText w:val="•"/>
      <w:lvlJc w:val="left"/>
      <w:pPr>
        <w:tabs>
          <w:tab w:val="num" w:pos="2880"/>
        </w:tabs>
        <w:ind w:left="2880" w:hanging="360"/>
      </w:pPr>
      <w:rPr>
        <w:rFonts w:ascii="Arial" w:hAnsi="Arial" w:hint="default"/>
      </w:rPr>
    </w:lvl>
    <w:lvl w:ilvl="4" w:tplc="B31CD540" w:tentative="1">
      <w:start w:val="1"/>
      <w:numFmt w:val="bullet"/>
      <w:lvlText w:val="•"/>
      <w:lvlJc w:val="left"/>
      <w:pPr>
        <w:tabs>
          <w:tab w:val="num" w:pos="3600"/>
        </w:tabs>
        <w:ind w:left="3600" w:hanging="360"/>
      </w:pPr>
      <w:rPr>
        <w:rFonts w:ascii="Arial" w:hAnsi="Arial" w:hint="default"/>
      </w:rPr>
    </w:lvl>
    <w:lvl w:ilvl="5" w:tplc="A83A2ECA" w:tentative="1">
      <w:start w:val="1"/>
      <w:numFmt w:val="bullet"/>
      <w:lvlText w:val="•"/>
      <w:lvlJc w:val="left"/>
      <w:pPr>
        <w:tabs>
          <w:tab w:val="num" w:pos="4320"/>
        </w:tabs>
        <w:ind w:left="4320" w:hanging="360"/>
      </w:pPr>
      <w:rPr>
        <w:rFonts w:ascii="Arial" w:hAnsi="Arial" w:hint="default"/>
      </w:rPr>
    </w:lvl>
    <w:lvl w:ilvl="6" w:tplc="8A1254AE" w:tentative="1">
      <w:start w:val="1"/>
      <w:numFmt w:val="bullet"/>
      <w:lvlText w:val="•"/>
      <w:lvlJc w:val="left"/>
      <w:pPr>
        <w:tabs>
          <w:tab w:val="num" w:pos="5040"/>
        </w:tabs>
        <w:ind w:left="5040" w:hanging="360"/>
      </w:pPr>
      <w:rPr>
        <w:rFonts w:ascii="Arial" w:hAnsi="Arial" w:hint="default"/>
      </w:rPr>
    </w:lvl>
    <w:lvl w:ilvl="7" w:tplc="247E4084" w:tentative="1">
      <w:start w:val="1"/>
      <w:numFmt w:val="bullet"/>
      <w:lvlText w:val="•"/>
      <w:lvlJc w:val="left"/>
      <w:pPr>
        <w:tabs>
          <w:tab w:val="num" w:pos="5760"/>
        </w:tabs>
        <w:ind w:left="5760" w:hanging="360"/>
      </w:pPr>
      <w:rPr>
        <w:rFonts w:ascii="Arial" w:hAnsi="Arial" w:hint="default"/>
      </w:rPr>
    </w:lvl>
    <w:lvl w:ilvl="8" w:tplc="78E09F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843AD"/>
    <w:multiLevelType w:val="hybridMultilevel"/>
    <w:tmpl w:val="EB828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15A72"/>
    <w:multiLevelType w:val="hybridMultilevel"/>
    <w:tmpl w:val="4222A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B1D76"/>
    <w:multiLevelType w:val="hybridMultilevel"/>
    <w:tmpl w:val="6D5277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72C3C"/>
    <w:multiLevelType w:val="hybridMultilevel"/>
    <w:tmpl w:val="163C6E86"/>
    <w:lvl w:ilvl="0" w:tplc="0405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1206309C"/>
    <w:multiLevelType w:val="hybridMultilevel"/>
    <w:tmpl w:val="855E01C6"/>
    <w:lvl w:ilvl="0" w:tplc="9F3AF1EC">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B92919"/>
    <w:multiLevelType w:val="hybridMultilevel"/>
    <w:tmpl w:val="2B56FAFE"/>
    <w:lvl w:ilvl="0" w:tplc="6988173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0A4083"/>
    <w:multiLevelType w:val="hybridMultilevel"/>
    <w:tmpl w:val="3C584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E42FC1"/>
    <w:multiLevelType w:val="hybridMultilevel"/>
    <w:tmpl w:val="C296AEE6"/>
    <w:lvl w:ilvl="0" w:tplc="B25606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0FA4577"/>
    <w:multiLevelType w:val="hybridMultilevel"/>
    <w:tmpl w:val="553EAC9E"/>
    <w:lvl w:ilvl="0" w:tplc="8B20C2B0">
      <w:start w:val="3"/>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3343A30"/>
    <w:multiLevelType w:val="hybridMultilevel"/>
    <w:tmpl w:val="26BEA028"/>
    <w:lvl w:ilvl="0" w:tplc="886E46EA">
      <w:start w:val="1"/>
      <w:numFmt w:val="bullet"/>
      <w:lvlText w:val="•"/>
      <w:lvlJc w:val="left"/>
      <w:pPr>
        <w:tabs>
          <w:tab w:val="num" w:pos="720"/>
        </w:tabs>
        <w:ind w:left="720" w:hanging="360"/>
      </w:pPr>
      <w:rPr>
        <w:rFonts w:ascii="Arial" w:hAnsi="Arial" w:hint="default"/>
      </w:rPr>
    </w:lvl>
    <w:lvl w:ilvl="1" w:tplc="D24078A2" w:tentative="1">
      <w:start w:val="1"/>
      <w:numFmt w:val="bullet"/>
      <w:lvlText w:val="•"/>
      <w:lvlJc w:val="left"/>
      <w:pPr>
        <w:tabs>
          <w:tab w:val="num" w:pos="1440"/>
        </w:tabs>
        <w:ind w:left="1440" w:hanging="360"/>
      </w:pPr>
      <w:rPr>
        <w:rFonts w:ascii="Arial" w:hAnsi="Arial" w:hint="default"/>
      </w:rPr>
    </w:lvl>
    <w:lvl w:ilvl="2" w:tplc="7B82BD50" w:tentative="1">
      <w:start w:val="1"/>
      <w:numFmt w:val="bullet"/>
      <w:lvlText w:val="•"/>
      <w:lvlJc w:val="left"/>
      <w:pPr>
        <w:tabs>
          <w:tab w:val="num" w:pos="2160"/>
        </w:tabs>
        <w:ind w:left="2160" w:hanging="360"/>
      </w:pPr>
      <w:rPr>
        <w:rFonts w:ascii="Arial" w:hAnsi="Arial" w:hint="default"/>
      </w:rPr>
    </w:lvl>
    <w:lvl w:ilvl="3" w:tplc="294E0B36" w:tentative="1">
      <w:start w:val="1"/>
      <w:numFmt w:val="bullet"/>
      <w:lvlText w:val="•"/>
      <w:lvlJc w:val="left"/>
      <w:pPr>
        <w:tabs>
          <w:tab w:val="num" w:pos="2880"/>
        </w:tabs>
        <w:ind w:left="2880" w:hanging="360"/>
      </w:pPr>
      <w:rPr>
        <w:rFonts w:ascii="Arial" w:hAnsi="Arial" w:hint="default"/>
      </w:rPr>
    </w:lvl>
    <w:lvl w:ilvl="4" w:tplc="5282AFB4" w:tentative="1">
      <w:start w:val="1"/>
      <w:numFmt w:val="bullet"/>
      <w:lvlText w:val="•"/>
      <w:lvlJc w:val="left"/>
      <w:pPr>
        <w:tabs>
          <w:tab w:val="num" w:pos="3600"/>
        </w:tabs>
        <w:ind w:left="3600" w:hanging="360"/>
      </w:pPr>
      <w:rPr>
        <w:rFonts w:ascii="Arial" w:hAnsi="Arial" w:hint="default"/>
      </w:rPr>
    </w:lvl>
    <w:lvl w:ilvl="5" w:tplc="3D02FB28" w:tentative="1">
      <w:start w:val="1"/>
      <w:numFmt w:val="bullet"/>
      <w:lvlText w:val="•"/>
      <w:lvlJc w:val="left"/>
      <w:pPr>
        <w:tabs>
          <w:tab w:val="num" w:pos="4320"/>
        </w:tabs>
        <w:ind w:left="4320" w:hanging="360"/>
      </w:pPr>
      <w:rPr>
        <w:rFonts w:ascii="Arial" w:hAnsi="Arial" w:hint="default"/>
      </w:rPr>
    </w:lvl>
    <w:lvl w:ilvl="6" w:tplc="E1CE200A" w:tentative="1">
      <w:start w:val="1"/>
      <w:numFmt w:val="bullet"/>
      <w:lvlText w:val="•"/>
      <w:lvlJc w:val="left"/>
      <w:pPr>
        <w:tabs>
          <w:tab w:val="num" w:pos="5040"/>
        </w:tabs>
        <w:ind w:left="5040" w:hanging="360"/>
      </w:pPr>
      <w:rPr>
        <w:rFonts w:ascii="Arial" w:hAnsi="Arial" w:hint="default"/>
      </w:rPr>
    </w:lvl>
    <w:lvl w:ilvl="7" w:tplc="88245F8C" w:tentative="1">
      <w:start w:val="1"/>
      <w:numFmt w:val="bullet"/>
      <w:lvlText w:val="•"/>
      <w:lvlJc w:val="left"/>
      <w:pPr>
        <w:tabs>
          <w:tab w:val="num" w:pos="5760"/>
        </w:tabs>
        <w:ind w:left="5760" w:hanging="360"/>
      </w:pPr>
      <w:rPr>
        <w:rFonts w:ascii="Arial" w:hAnsi="Arial" w:hint="default"/>
      </w:rPr>
    </w:lvl>
    <w:lvl w:ilvl="8" w:tplc="D3A85D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BB14DD"/>
    <w:multiLevelType w:val="hybridMultilevel"/>
    <w:tmpl w:val="17628C18"/>
    <w:lvl w:ilvl="0" w:tplc="E50CA28E">
      <w:start w:val="1"/>
      <w:numFmt w:val="bullet"/>
      <w:lvlText w:val="•"/>
      <w:lvlJc w:val="left"/>
      <w:pPr>
        <w:tabs>
          <w:tab w:val="num" w:pos="720"/>
        </w:tabs>
        <w:ind w:left="720" w:hanging="360"/>
      </w:pPr>
      <w:rPr>
        <w:rFonts w:ascii="Arial" w:hAnsi="Arial" w:cs="Times New Roman" w:hint="default"/>
      </w:rPr>
    </w:lvl>
    <w:lvl w:ilvl="1" w:tplc="9C6437BE">
      <w:start w:val="1"/>
      <w:numFmt w:val="bullet"/>
      <w:lvlText w:val="•"/>
      <w:lvlJc w:val="left"/>
      <w:pPr>
        <w:tabs>
          <w:tab w:val="num" w:pos="1440"/>
        </w:tabs>
        <w:ind w:left="1440" w:hanging="360"/>
      </w:pPr>
      <w:rPr>
        <w:rFonts w:ascii="Arial" w:hAnsi="Arial" w:cs="Times New Roman" w:hint="default"/>
      </w:rPr>
    </w:lvl>
    <w:lvl w:ilvl="2" w:tplc="CCB6EF00">
      <w:start w:val="1"/>
      <w:numFmt w:val="bullet"/>
      <w:lvlText w:val="•"/>
      <w:lvlJc w:val="left"/>
      <w:pPr>
        <w:tabs>
          <w:tab w:val="num" w:pos="2160"/>
        </w:tabs>
        <w:ind w:left="2160" w:hanging="360"/>
      </w:pPr>
      <w:rPr>
        <w:rFonts w:ascii="Arial" w:hAnsi="Arial" w:cs="Times New Roman" w:hint="default"/>
      </w:rPr>
    </w:lvl>
    <w:lvl w:ilvl="3" w:tplc="89EEF108">
      <w:start w:val="1"/>
      <w:numFmt w:val="bullet"/>
      <w:lvlText w:val="•"/>
      <w:lvlJc w:val="left"/>
      <w:pPr>
        <w:tabs>
          <w:tab w:val="num" w:pos="2880"/>
        </w:tabs>
        <w:ind w:left="2880" w:hanging="360"/>
      </w:pPr>
      <w:rPr>
        <w:rFonts w:ascii="Arial" w:hAnsi="Arial" w:cs="Times New Roman" w:hint="default"/>
      </w:rPr>
    </w:lvl>
    <w:lvl w:ilvl="4" w:tplc="42ECDBEA">
      <w:start w:val="1"/>
      <w:numFmt w:val="bullet"/>
      <w:lvlText w:val="•"/>
      <w:lvlJc w:val="left"/>
      <w:pPr>
        <w:tabs>
          <w:tab w:val="num" w:pos="3600"/>
        </w:tabs>
        <w:ind w:left="3600" w:hanging="360"/>
      </w:pPr>
      <w:rPr>
        <w:rFonts w:ascii="Arial" w:hAnsi="Arial" w:cs="Times New Roman" w:hint="default"/>
      </w:rPr>
    </w:lvl>
    <w:lvl w:ilvl="5" w:tplc="3A6A64DA">
      <w:start w:val="1"/>
      <w:numFmt w:val="bullet"/>
      <w:lvlText w:val="•"/>
      <w:lvlJc w:val="left"/>
      <w:pPr>
        <w:tabs>
          <w:tab w:val="num" w:pos="4320"/>
        </w:tabs>
        <w:ind w:left="4320" w:hanging="360"/>
      </w:pPr>
      <w:rPr>
        <w:rFonts w:ascii="Arial" w:hAnsi="Arial" w:cs="Times New Roman" w:hint="default"/>
      </w:rPr>
    </w:lvl>
    <w:lvl w:ilvl="6" w:tplc="785E48AA">
      <w:start w:val="1"/>
      <w:numFmt w:val="bullet"/>
      <w:lvlText w:val="•"/>
      <w:lvlJc w:val="left"/>
      <w:pPr>
        <w:tabs>
          <w:tab w:val="num" w:pos="5040"/>
        </w:tabs>
        <w:ind w:left="5040" w:hanging="360"/>
      </w:pPr>
      <w:rPr>
        <w:rFonts w:ascii="Arial" w:hAnsi="Arial" w:cs="Times New Roman" w:hint="default"/>
      </w:rPr>
    </w:lvl>
    <w:lvl w:ilvl="7" w:tplc="15F0E15A">
      <w:start w:val="1"/>
      <w:numFmt w:val="bullet"/>
      <w:lvlText w:val="•"/>
      <w:lvlJc w:val="left"/>
      <w:pPr>
        <w:tabs>
          <w:tab w:val="num" w:pos="5760"/>
        </w:tabs>
        <w:ind w:left="5760" w:hanging="360"/>
      </w:pPr>
      <w:rPr>
        <w:rFonts w:ascii="Arial" w:hAnsi="Arial" w:cs="Times New Roman" w:hint="default"/>
      </w:rPr>
    </w:lvl>
    <w:lvl w:ilvl="8" w:tplc="D38AD36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C5A2A51"/>
    <w:multiLevelType w:val="hybridMultilevel"/>
    <w:tmpl w:val="633C8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647CE5"/>
    <w:multiLevelType w:val="hybridMultilevel"/>
    <w:tmpl w:val="F91C69CC"/>
    <w:lvl w:ilvl="0" w:tplc="AA8891D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5B2B28"/>
    <w:multiLevelType w:val="hybridMultilevel"/>
    <w:tmpl w:val="A77CB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170A7D"/>
    <w:multiLevelType w:val="hybridMultilevel"/>
    <w:tmpl w:val="E76A6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1A024A"/>
    <w:multiLevelType w:val="hybridMultilevel"/>
    <w:tmpl w:val="123AA014"/>
    <w:lvl w:ilvl="0" w:tplc="A1E66C42">
      <w:start w:val="1"/>
      <w:numFmt w:val="bullet"/>
      <w:lvlText w:val="•"/>
      <w:lvlJc w:val="left"/>
      <w:pPr>
        <w:tabs>
          <w:tab w:val="num" w:pos="720"/>
        </w:tabs>
        <w:ind w:left="720" w:hanging="360"/>
      </w:pPr>
      <w:rPr>
        <w:rFonts w:ascii="Arial" w:hAnsi="Arial" w:hint="default"/>
      </w:rPr>
    </w:lvl>
    <w:lvl w:ilvl="1" w:tplc="9D3A3968" w:tentative="1">
      <w:start w:val="1"/>
      <w:numFmt w:val="bullet"/>
      <w:lvlText w:val="•"/>
      <w:lvlJc w:val="left"/>
      <w:pPr>
        <w:tabs>
          <w:tab w:val="num" w:pos="1440"/>
        </w:tabs>
        <w:ind w:left="1440" w:hanging="360"/>
      </w:pPr>
      <w:rPr>
        <w:rFonts w:ascii="Arial" w:hAnsi="Arial" w:hint="default"/>
      </w:rPr>
    </w:lvl>
    <w:lvl w:ilvl="2" w:tplc="AD120F68" w:tentative="1">
      <w:start w:val="1"/>
      <w:numFmt w:val="bullet"/>
      <w:lvlText w:val="•"/>
      <w:lvlJc w:val="left"/>
      <w:pPr>
        <w:tabs>
          <w:tab w:val="num" w:pos="2160"/>
        </w:tabs>
        <w:ind w:left="2160" w:hanging="360"/>
      </w:pPr>
      <w:rPr>
        <w:rFonts w:ascii="Arial" w:hAnsi="Arial" w:hint="default"/>
      </w:rPr>
    </w:lvl>
    <w:lvl w:ilvl="3" w:tplc="6F847E0A" w:tentative="1">
      <w:start w:val="1"/>
      <w:numFmt w:val="bullet"/>
      <w:lvlText w:val="•"/>
      <w:lvlJc w:val="left"/>
      <w:pPr>
        <w:tabs>
          <w:tab w:val="num" w:pos="2880"/>
        </w:tabs>
        <w:ind w:left="2880" w:hanging="360"/>
      </w:pPr>
      <w:rPr>
        <w:rFonts w:ascii="Arial" w:hAnsi="Arial" w:hint="default"/>
      </w:rPr>
    </w:lvl>
    <w:lvl w:ilvl="4" w:tplc="CAC0A524" w:tentative="1">
      <w:start w:val="1"/>
      <w:numFmt w:val="bullet"/>
      <w:lvlText w:val="•"/>
      <w:lvlJc w:val="left"/>
      <w:pPr>
        <w:tabs>
          <w:tab w:val="num" w:pos="3600"/>
        </w:tabs>
        <w:ind w:left="3600" w:hanging="360"/>
      </w:pPr>
      <w:rPr>
        <w:rFonts w:ascii="Arial" w:hAnsi="Arial" w:hint="default"/>
      </w:rPr>
    </w:lvl>
    <w:lvl w:ilvl="5" w:tplc="C8F887C6" w:tentative="1">
      <w:start w:val="1"/>
      <w:numFmt w:val="bullet"/>
      <w:lvlText w:val="•"/>
      <w:lvlJc w:val="left"/>
      <w:pPr>
        <w:tabs>
          <w:tab w:val="num" w:pos="4320"/>
        </w:tabs>
        <w:ind w:left="4320" w:hanging="360"/>
      </w:pPr>
      <w:rPr>
        <w:rFonts w:ascii="Arial" w:hAnsi="Arial" w:hint="default"/>
      </w:rPr>
    </w:lvl>
    <w:lvl w:ilvl="6" w:tplc="3B8863FA" w:tentative="1">
      <w:start w:val="1"/>
      <w:numFmt w:val="bullet"/>
      <w:lvlText w:val="•"/>
      <w:lvlJc w:val="left"/>
      <w:pPr>
        <w:tabs>
          <w:tab w:val="num" w:pos="5040"/>
        </w:tabs>
        <w:ind w:left="5040" w:hanging="360"/>
      </w:pPr>
      <w:rPr>
        <w:rFonts w:ascii="Arial" w:hAnsi="Arial" w:hint="default"/>
      </w:rPr>
    </w:lvl>
    <w:lvl w:ilvl="7" w:tplc="DA545B22" w:tentative="1">
      <w:start w:val="1"/>
      <w:numFmt w:val="bullet"/>
      <w:lvlText w:val="•"/>
      <w:lvlJc w:val="left"/>
      <w:pPr>
        <w:tabs>
          <w:tab w:val="num" w:pos="5760"/>
        </w:tabs>
        <w:ind w:left="5760" w:hanging="360"/>
      </w:pPr>
      <w:rPr>
        <w:rFonts w:ascii="Arial" w:hAnsi="Arial" w:hint="default"/>
      </w:rPr>
    </w:lvl>
    <w:lvl w:ilvl="8" w:tplc="7FFEB4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8A7633"/>
    <w:multiLevelType w:val="hybridMultilevel"/>
    <w:tmpl w:val="A68019BE"/>
    <w:lvl w:ilvl="0" w:tplc="D6BA4EBC">
      <w:start w:val="1"/>
      <w:numFmt w:val="bullet"/>
      <w:lvlText w:val="•"/>
      <w:lvlJc w:val="left"/>
      <w:pPr>
        <w:tabs>
          <w:tab w:val="num" w:pos="720"/>
        </w:tabs>
        <w:ind w:left="720" w:hanging="360"/>
      </w:pPr>
      <w:rPr>
        <w:rFonts w:ascii="Arial" w:hAnsi="Arial" w:hint="default"/>
      </w:rPr>
    </w:lvl>
    <w:lvl w:ilvl="1" w:tplc="FB7C91B6" w:tentative="1">
      <w:start w:val="1"/>
      <w:numFmt w:val="bullet"/>
      <w:lvlText w:val="•"/>
      <w:lvlJc w:val="left"/>
      <w:pPr>
        <w:tabs>
          <w:tab w:val="num" w:pos="1440"/>
        </w:tabs>
        <w:ind w:left="1440" w:hanging="360"/>
      </w:pPr>
      <w:rPr>
        <w:rFonts w:ascii="Arial" w:hAnsi="Arial" w:hint="default"/>
      </w:rPr>
    </w:lvl>
    <w:lvl w:ilvl="2" w:tplc="8F5E82D2" w:tentative="1">
      <w:start w:val="1"/>
      <w:numFmt w:val="bullet"/>
      <w:lvlText w:val="•"/>
      <w:lvlJc w:val="left"/>
      <w:pPr>
        <w:tabs>
          <w:tab w:val="num" w:pos="2160"/>
        </w:tabs>
        <w:ind w:left="2160" w:hanging="360"/>
      </w:pPr>
      <w:rPr>
        <w:rFonts w:ascii="Arial" w:hAnsi="Arial" w:hint="default"/>
      </w:rPr>
    </w:lvl>
    <w:lvl w:ilvl="3" w:tplc="1E66A962" w:tentative="1">
      <w:start w:val="1"/>
      <w:numFmt w:val="bullet"/>
      <w:lvlText w:val="•"/>
      <w:lvlJc w:val="left"/>
      <w:pPr>
        <w:tabs>
          <w:tab w:val="num" w:pos="2880"/>
        </w:tabs>
        <w:ind w:left="2880" w:hanging="360"/>
      </w:pPr>
      <w:rPr>
        <w:rFonts w:ascii="Arial" w:hAnsi="Arial" w:hint="default"/>
      </w:rPr>
    </w:lvl>
    <w:lvl w:ilvl="4" w:tplc="99223854" w:tentative="1">
      <w:start w:val="1"/>
      <w:numFmt w:val="bullet"/>
      <w:lvlText w:val="•"/>
      <w:lvlJc w:val="left"/>
      <w:pPr>
        <w:tabs>
          <w:tab w:val="num" w:pos="3600"/>
        </w:tabs>
        <w:ind w:left="3600" w:hanging="360"/>
      </w:pPr>
      <w:rPr>
        <w:rFonts w:ascii="Arial" w:hAnsi="Arial" w:hint="default"/>
      </w:rPr>
    </w:lvl>
    <w:lvl w:ilvl="5" w:tplc="6C7666AA" w:tentative="1">
      <w:start w:val="1"/>
      <w:numFmt w:val="bullet"/>
      <w:lvlText w:val="•"/>
      <w:lvlJc w:val="left"/>
      <w:pPr>
        <w:tabs>
          <w:tab w:val="num" w:pos="4320"/>
        </w:tabs>
        <w:ind w:left="4320" w:hanging="360"/>
      </w:pPr>
      <w:rPr>
        <w:rFonts w:ascii="Arial" w:hAnsi="Arial" w:hint="default"/>
      </w:rPr>
    </w:lvl>
    <w:lvl w:ilvl="6" w:tplc="0DCED478" w:tentative="1">
      <w:start w:val="1"/>
      <w:numFmt w:val="bullet"/>
      <w:lvlText w:val="•"/>
      <w:lvlJc w:val="left"/>
      <w:pPr>
        <w:tabs>
          <w:tab w:val="num" w:pos="5040"/>
        </w:tabs>
        <w:ind w:left="5040" w:hanging="360"/>
      </w:pPr>
      <w:rPr>
        <w:rFonts w:ascii="Arial" w:hAnsi="Arial" w:hint="default"/>
      </w:rPr>
    </w:lvl>
    <w:lvl w:ilvl="7" w:tplc="9DB4829A" w:tentative="1">
      <w:start w:val="1"/>
      <w:numFmt w:val="bullet"/>
      <w:lvlText w:val="•"/>
      <w:lvlJc w:val="left"/>
      <w:pPr>
        <w:tabs>
          <w:tab w:val="num" w:pos="5760"/>
        </w:tabs>
        <w:ind w:left="5760" w:hanging="360"/>
      </w:pPr>
      <w:rPr>
        <w:rFonts w:ascii="Arial" w:hAnsi="Arial" w:hint="default"/>
      </w:rPr>
    </w:lvl>
    <w:lvl w:ilvl="8" w:tplc="ABF0AF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9105EB"/>
    <w:multiLevelType w:val="hybridMultilevel"/>
    <w:tmpl w:val="25882682"/>
    <w:lvl w:ilvl="0" w:tplc="E586E02A">
      <w:start w:val="1"/>
      <w:numFmt w:val="decimal"/>
      <w:lvlText w:val="%1."/>
      <w:lvlJc w:val="left"/>
      <w:pPr>
        <w:ind w:left="410" w:hanging="360"/>
      </w:pPr>
    </w:lvl>
    <w:lvl w:ilvl="1" w:tplc="08090019">
      <w:start w:val="1"/>
      <w:numFmt w:val="lowerLetter"/>
      <w:lvlText w:val="%2."/>
      <w:lvlJc w:val="left"/>
      <w:pPr>
        <w:ind w:left="1130" w:hanging="360"/>
      </w:pPr>
    </w:lvl>
    <w:lvl w:ilvl="2" w:tplc="0809001B">
      <w:start w:val="1"/>
      <w:numFmt w:val="lowerRoman"/>
      <w:lvlText w:val="%3."/>
      <w:lvlJc w:val="right"/>
      <w:pPr>
        <w:ind w:left="1850" w:hanging="180"/>
      </w:pPr>
    </w:lvl>
    <w:lvl w:ilvl="3" w:tplc="0809000F">
      <w:start w:val="1"/>
      <w:numFmt w:val="decimal"/>
      <w:lvlText w:val="%4."/>
      <w:lvlJc w:val="left"/>
      <w:pPr>
        <w:ind w:left="2570" w:hanging="360"/>
      </w:pPr>
    </w:lvl>
    <w:lvl w:ilvl="4" w:tplc="08090019">
      <w:start w:val="1"/>
      <w:numFmt w:val="lowerLetter"/>
      <w:lvlText w:val="%5."/>
      <w:lvlJc w:val="left"/>
      <w:pPr>
        <w:ind w:left="3290" w:hanging="360"/>
      </w:pPr>
    </w:lvl>
    <w:lvl w:ilvl="5" w:tplc="0809001B">
      <w:start w:val="1"/>
      <w:numFmt w:val="lowerRoman"/>
      <w:lvlText w:val="%6."/>
      <w:lvlJc w:val="right"/>
      <w:pPr>
        <w:ind w:left="4010" w:hanging="180"/>
      </w:pPr>
    </w:lvl>
    <w:lvl w:ilvl="6" w:tplc="0809000F">
      <w:start w:val="1"/>
      <w:numFmt w:val="decimal"/>
      <w:lvlText w:val="%7."/>
      <w:lvlJc w:val="left"/>
      <w:pPr>
        <w:ind w:left="4730" w:hanging="360"/>
      </w:pPr>
    </w:lvl>
    <w:lvl w:ilvl="7" w:tplc="08090019">
      <w:start w:val="1"/>
      <w:numFmt w:val="lowerLetter"/>
      <w:lvlText w:val="%8."/>
      <w:lvlJc w:val="left"/>
      <w:pPr>
        <w:ind w:left="5450" w:hanging="360"/>
      </w:pPr>
    </w:lvl>
    <w:lvl w:ilvl="8" w:tplc="0809001B">
      <w:start w:val="1"/>
      <w:numFmt w:val="lowerRoman"/>
      <w:lvlText w:val="%9."/>
      <w:lvlJc w:val="right"/>
      <w:pPr>
        <w:ind w:left="6170" w:hanging="180"/>
      </w:pPr>
    </w:lvl>
  </w:abstractNum>
  <w:abstractNum w:abstractNumId="19" w15:restartNumberingAfterBreak="0">
    <w:nsid w:val="606843DC"/>
    <w:multiLevelType w:val="hybridMultilevel"/>
    <w:tmpl w:val="3E42D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E1214D"/>
    <w:multiLevelType w:val="hybridMultilevel"/>
    <w:tmpl w:val="9F34024E"/>
    <w:lvl w:ilvl="0" w:tplc="ADB0AA92">
      <w:start w:val="1"/>
      <w:numFmt w:val="bullet"/>
      <w:lvlText w:val="•"/>
      <w:lvlJc w:val="left"/>
      <w:pPr>
        <w:tabs>
          <w:tab w:val="num" w:pos="720"/>
        </w:tabs>
        <w:ind w:left="720" w:hanging="360"/>
      </w:pPr>
      <w:rPr>
        <w:rFonts w:ascii="Arial" w:hAnsi="Arial" w:hint="default"/>
      </w:rPr>
    </w:lvl>
    <w:lvl w:ilvl="1" w:tplc="54B2907C" w:tentative="1">
      <w:start w:val="1"/>
      <w:numFmt w:val="bullet"/>
      <w:lvlText w:val="•"/>
      <w:lvlJc w:val="left"/>
      <w:pPr>
        <w:tabs>
          <w:tab w:val="num" w:pos="1440"/>
        </w:tabs>
        <w:ind w:left="1440" w:hanging="360"/>
      </w:pPr>
      <w:rPr>
        <w:rFonts w:ascii="Arial" w:hAnsi="Arial" w:hint="default"/>
      </w:rPr>
    </w:lvl>
    <w:lvl w:ilvl="2" w:tplc="7F848D9A" w:tentative="1">
      <w:start w:val="1"/>
      <w:numFmt w:val="bullet"/>
      <w:lvlText w:val="•"/>
      <w:lvlJc w:val="left"/>
      <w:pPr>
        <w:tabs>
          <w:tab w:val="num" w:pos="2160"/>
        </w:tabs>
        <w:ind w:left="2160" w:hanging="360"/>
      </w:pPr>
      <w:rPr>
        <w:rFonts w:ascii="Arial" w:hAnsi="Arial" w:hint="default"/>
      </w:rPr>
    </w:lvl>
    <w:lvl w:ilvl="3" w:tplc="E77AB61C" w:tentative="1">
      <w:start w:val="1"/>
      <w:numFmt w:val="bullet"/>
      <w:lvlText w:val="•"/>
      <w:lvlJc w:val="left"/>
      <w:pPr>
        <w:tabs>
          <w:tab w:val="num" w:pos="2880"/>
        </w:tabs>
        <w:ind w:left="2880" w:hanging="360"/>
      </w:pPr>
      <w:rPr>
        <w:rFonts w:ascii="Arial" w:hAnsi="Arial" w:hint="default"/>
      </w:rPr>
    </w:lvl>
    <w:lvl w:ilvl="4" w:tplc="D0862378" w:tentative="1">
      <w:start w:val="1"/>
      <w:numFmt w:val="bullet"/>
      <w:lvlText w:val="•"/>
      <w:lvlJc w:val="left"/>
      <w:pPr>
        <w:tabs>
          <w:tab w:val="num" w:pos="3600"/>
        </w:tabs>
        <w:ind w:left="3600" w:hanging="360"/>
      </w:pPr>
      <w:rPr>
        <w:rFonts w:ascii="Arial" w:hAnsi="Arial" w:hint="default"/>
      </w:rPr>
    </w:lvl>
    <w:lvl w:ilvl="5" w:tplc="181EBA86" w:tentative="1">
      <w:start w:val="1"/>
      <w:numFmt w:val="bullet"/>
      <w:lvlText w:val="•"/>
      <w:lvlJc w:val="left"/>
      <w:pPr>
        <w:tabs>
          <w:tab w:val="num" w:pos="4320"/>
        </w:tabs>
        <w:ind w:left="4320" w:hanging="360"/>
      </w:pPr>
      <w:rPr>
        <w:rFonts w:ascii="Arial" w:hAnsi="Arial" w:hint="default"/>
      </w:rPr>
    </w:lvl>
    <w:lvl w:ilvl="6" w:tplc="429A9BF2" w:tentative="1">
      <w:start w:val="1"/>
      <w:numFmt w:val="bullet"/>
      <w:lvlText w:val="•"/>
      <w:lvlJc w:val="left"/>
      <w:pPr>
        <w:tabs>
          <w:tab w:val="num" w:pos="5040"/>
        </w:tabs>
        <w:ind w:left="5040" w:hanging="360"/>
      </w:pPr>
      <w:rPr>
        <w:rFonts w:ascii="Arial" w:hAnsi="Arial" w:hint="default"/>
      </w:rPr>
    </w:lvl>
    <w:lvl w:ilvl="7" w:tplc="01AC9630" w:tentative="1">
      <w:start w:val="1"/>
      <w:numFmt w:val="bullet"/>
      <w:lvlText w:val="•"/>
      <w:lvlJc w:val="left"/>
      <w:pPr>
        <w:tabs>
          <w:tab w:val="num" w:pos="5760"/>
        </w:tabs>
        <w:ind w:left="5760" w:hanging="360"/>
      </w:pPr>
      <w:rPr>
        <w:rFonts w:ascii="Arial" w:hAnsi="Arial" w:hint="default"/>
      </w:rPr>
    </w:lvl>
    <w:lvl w:ilvl="8" w:tplc="388235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613CD2"/>
    <w:multiLevelType w:val="hybridMultilevel"/>
    <w:tmpl w:val="0CF0BB3A"/>
    <w:lvl w:ilvl="0" w:tplc="150827AC">
      <w:start w:val="1"/>
      <w:numFmt w:val="decimal"/>
      <w:lvlText w:val="%1."/>
      <w:lvlJc w:val="left"/>
      <w:pPr>
        <w:tabs>
          <w:tab w:val="num" w:pos="720"/>
        </w:tabs>
        <w:ind w:left="720" w:hanging="360"/>
      </w:pPr>
    </w:lvl>
    <w:lvl w:ilvl="1" w:tplc="7166CD38" w:tentative="1">
      <w:start w:val="1"/>
      <w:numFmt w:val="decimal"/>
      <w:lvlText w:val="%2."/>
      <w:lvlJc w:val="left"/>
      <w:pPr>
        <w:tabs>
          <w:tab w:val="num" w:pos="1440"/>
        </w:tabs>
        <w:ind w:left="1440" w:hanging="360"/>
      </w:pPr>
    </w:lvl>
    <w:lvl w:ilvl="2" w:tplc="6590C27E" w:tentative="1">
      <w:start w:val="1"/>
      <w:numFmt w:val="decimal"/>
      <w:lvlText w:val="%3."/>
      <w:lvlJc w:val="left"/>
      <w:pPr>
        <w:tabs>
          <w:tab w:val="num" w:pos="2160"/>
        </w:tabs>
        <w:ind w:left="2160" w:hanging="360"/>
      </w:pPr>
    </w:lvl>
    <w:lvl w:ilvl="3" w:tplc="DAEABB6A" w:tentative="1">
      <w:start w:val="1"/>
      <w:numFmt w:val="decimal"/>
      <w:lvlText w:val="%4."/>
      <w:lvlJc w:val="left"/>
      <w:pPr>
        <w:tabs>
          <w:tab w:val="num" w:pos="2880"/>
        </w:tabs>
        <w:ind w:left="2880" w:hanging="360"/>
      </w:pPr>
    </w:lvl>
    <w:lvl w:ilvl="4" w:tplc="743CC316" w:tentative="1">
      <w:start w:val="1"/>
      <w:numFmt w:val="decimal"/>
      <w:lvlText w:val="%5."/>
      <w:lvlJc w:val="left"/>
      <w:pPr>
        <w:tabs>
          <w:tab w:val="num" w:pos="3600"/>
        </w:tabs>
        <w:ind w:left="3600" w:hanging="360"/>
      </w:pPr>
    </w:lvl>
    <w:lvl w:ilvl="5" w:tplc="B6205870" w:tentative="1">
      <w:start w:val="1"/>
      <w:numFmt w:val="decimal"/>
      <w:lvlText w:val="%6."/>
      <w:lvlJc w:val="left"/>
      <w:pPr>
        <w:tabs>
          <w:tab w:val="num" w:pos="4320"/>
        </w:tabs>
        <w:ind w:left="4320" w:hanging="360"/>
      </w:pPr>
    </w:lvl>
    <w:lvl w:ilvl="6" w:tplc="51AE11DA" w:tentative="1">
      <w:start w:val="1"/>
      <w:numFmt w:val="decimal"/>
      <w:lvlText w:val="%7."/>
      <w:lvlJc w:val="left"/>
      <w:pPr>
        <w:tabs>
          <w:tab w:val="num" w:pos="5040"/>
        </w:tabs>
        <w:ind w:left="5040" w:hanging="360"/>
      </w:pPr>
    </w:lvl>
    <w:lvl w:ilvl="7" w:tplc="13FCFD3C" w:tentative="1">
      <w:start w:val="1"/>
      <w:numFmt w:val="decimal"/>
      <w:lvlText w:val="%8."/>
      <w:lvlJc w:val="left"/>
      <w:pPr>
        <w:tabs>
          <w:tab w:val="num" w:pos="5760"/>
        </w:tabs>
        <w:ind w:left="5760" w:hanging="360"/>
      </w:pPr>
    </w:lvl>
    <w:lvl w:ilvl="8" w:tplc="B21EA8F8" w:tentative="1">
      <w:start w:val="1"/>
      <w:numFmt w:val="decimal"/>
      <w:lvlText w:val="%9."/>
      <w:lvlJc w:val="left"/>
      <w:pPr>
        <w:tabs>
          <w:tab w:val="num" w:pos="6480"/>
        </w:tabs>
        <w:ind w:left="6480" w:hanging="360"/>
      </w:pPr>
    </w:lvl>
  </w:abstractNum>
  <w:abstractNum w:abstractNumId="22" w15:restartNumberingAfterBreak="0">
    <w:nsid w:val="6765577F"/>
    <w:multiLevelType w:val="hybridMultilevel"/>
    <w:tmpl w:val="BBB23B48"/>
    <w:lvl w:ilvl="0" w:tplc="AC68AD1A">
      <w:start w:val="1"/>
      <w:numFmt w:val="bullet"/>
      <w:lvlText w:val="•"/>
      <w:lvlJc w:val="left"/>
      <w:pPr>
        <w:tabs>
          <w:tab w:val="num" w:pos="720"/>
        </w:tabs>
        <w:ind w:left="720" w:hanging="360"/>
      </w:pPr>
      <w:rPr>
        <w:rFonts w:ascii="Arial" w:hAnsi="Arial" w:hint="default"/>
      </w:rPr>
    </w:lvl>
    <w:lvl w:ilvl="1" w:tplc="655AC03A" w:tentative="1">
      <w:start w:val="1"/>
      <w:numFmt w:val="bullet"/>
      <w:lvlText w:val="•"/>
      <w:lvlJc w:val="left"/>
      <w:pPr>
        <w:tabs>
          <w:tab w:val="num" w:pos="1440"/>
        </w:tabs>
        <w:ind w:left="1440" w:hanging="360"/>
      </w:pPr>
      <w:rPr>
        <w:rFonts w:ascii="Arial" w:hAnsi="Arial" w:hint="default"/>
      </w:rPr>
    </w:lvl>
    <w:lvl w:ilvl="2" w:tplc="FE6873AE" w:tentative="1">
      <w:start w:val="1"/>
      <w:numFmt w:val="bullet"/>
      <w:lvlText w:val="•"/>
      <w:lvlJc w:val="left"/>
      <w:pPr>
        <w:tabs>
          <w:tab w:val="num" w:pos="2160"/>
        </w:tabs>
        <w:ind w:left="2160" w:hanging="360"/>
      </w:pPr>
      <w:rPr>
        <w:rFonts w:ascii="Arial" w:hAnsi="Arial" w:hint="default"/>
      </w:rPr>
    </w:lvl>
    <w:lvl w:ilvl="3" w:tplc="59208412" w:tentative="1">
      <w:start w:val="1"/>
      <w:numFmt w:val="bullet"/>
      <w:lvlText w:val="•"/>
      <w:lvlJc w:val="left"/>
      <w:pPr>
        <w:tabs>
          <w:tab w:val="num" w:pos="2880"/>
        </w:tabs>
        <w:ind w:left="2880" w:hanging="360"/>
      </w:pPr>
      <w:rPr>
        <w:rFonts w:ascii="Arial" w:hAnsi="Arial" w:hint="default"/>
      </w:rPr>
    </w:lvl>
    <w:lvl w:ilvl="4" w:tplc="1B46B48C" w:tentative="1">
      <w:start w:val="1"/>
      <w:numFmt w:val="bullet"/>
      <w:lvlText w:val="•"/>
      <w:lvlJc w:val="left"/>
      <w:pPr>
        <w:tabs>
          <w:tab w:val="num" w:pos="3600"/>
        </w:tabs>
        <w:ind w:left="3600" w:hanging="360"/>
      </w:pPr>
      <w:rPr>
        <w:rFonts w:ascii="Arial" w:hAnsi="Arial" w:hint="default"/>
      </w:rPr>
    </w:lvl>
    <w:lvl w:ilvl="5" w:tplc="02EA0FDE" w:tentative="1">
      <w:start w:val="1"/>
      <w:numFmt w:val="bullet"/>
      <w:lvlText w:val="•"/>
      <w:lvlJc w:val="left"/>
      <w:pPr>
        <w:tabs>
          <w:tab w:val="num" w:pos="4320"/>
        </w:tabs>
        <w:ind w:left="4320" w:hanging="360"/>
      </w:pPr>
      <w:rPr>
        <w:rFonts w:ascii="Arial" w:hAnsi="Arial" w:hint="default"/>
      </w:rPr>
    </w:lvl>
    <w:lvl w:ilvl="6" w:tplc="1D860DEE" w:tentative="1">
      <w:start w:val="1"/>
      <w:numFmt w:val="bullet"/>
      <w:lvlText w:val="•"/>
      <w:lvlJc w:val="left"/>
      <w:pPr>
        <w:tabs>
          <w:tab w:val="num" w:pos="5040"/>
        </w:tabs>
        <w:ind w:left="5040" w:hanging="360"/>
      </w:pPr>
      <w:rPr>
        <w:rFonts w:ascii="Arial" w:hAnsi="Arial" w:hint="default"/>
      </w:rPr>
    </w:lvl>
    <w:lvl w:ilvl="7" w:tplc="CA8628BC" w:tentative="1">
      <w:start w:val="1"/>
      <w:numFmt w:val="bullet"/>
      <w:lvlText w:val="•"/>
      <w:lvlJc w:val="left"/>
      <w:pPr>
        <w:tabs>
          <w:tab w:val="num" w:pos="5760"/>
        </w:tabs>
        <w:ind w:left="5760" w:hanging="360"/>
      </w:pPr>
      <w:rPr>
        <w:rFonts w:ascii="Arial" w:hAnsi="Arial" w:hint="default"/>
      </w:rPr>
    </w:lvl>
    <w:lvl w:ilvl="8" w:tplc="1674DC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FD055A"/>
    <w:multiLevelType w:val="hybridMultilevel"/>
    <w:tmpl w:val="F490C33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6EA509EA"/>
    <w:multiLevelType w:val="hybridMultilevel"/>
    <w:tmpl w:val="14E0161E"/>
    <w:lvl w:ilvl="0" w:tplc="9F3AF1EC">
      <w:numFmt w:val="bullet"/>
      <w:lvlText w:val="-"/>
      <w:lvlJc w:val="left"/>
      <w:pPr>
        <w:ind w:left="360" w:hanging="360"/>
      </w:pPr>
      <w:rPr>
        <w:rFonts w:ascii="Calibri Light" w:eastAsia="Times New Roman" w:hAnsi="Calibri Light" w:cs="Calibri Light"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F137D7D"/>
    <w:multiLevelType w:val="hybridMultilevel"/>
    <w:tmpl w:val="F856C146"/>
    <w:lvl w:ilvl="0" w:tplc="F37A31CE">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0DE4F03"/>
    <w:multiLevelType w:val="hybridMultilevel"/>
    <w:tmpl w:val="D458DCC2"/>
    <w:lvl w:ilvl="0" w:tplc="ABAA372A">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5767A3"/>
    <w:multiLevelType w:val="hybridMultilevel"/>
    <w:tmpl w:val="50648AEA"/>
    <w:lvl w:ilvl="0" w:tplc="A25066A6">
      <w:start w:val="1"/>
      <w:numFmt w:val="bullet"/>
      <w:lvlText w:val="•"/>
      <w:lvlJc w:val="left"/>
      <w:pPr>
        <w:tabs>
          <w:tab w:val="num" w:pos="720"/>
        </w:tabs>
        <w:ind w:left="720" w:hanging="360"/>
      </w:pPr>
      <w:rPr>
        <w:rFonts w:ascii="Arial" w:hAnsi="Arial" w:hint="default"/>
      </w:rPr>
    </w:lvl>
    <w:lvl w:ilvl="1" w:tplc="535E907A" w:tentative="1">
      <w:start w:val="1"/>
      <w:numFmt w:val="bullet"/>
      <w:lvlText w:val="•"/>
      <w:lvlJc w:val="left"/>
      <w:pPr>
        <w:tabs>
          <w:tab w:val="num" w:pos="1440"/>
        </w:tabs>
        <w:ind w:left="1440" w:hanging="360"/>
      </w:pPr>
      <w:rPr>
        <w:rFonts w:ascii="Arial" w:hAnsi="Arial" w:hint="default"/>
      </w:rPr>
    </w:lvl>
    <w:lvl w:ilvl="2" w:tplc="414C932A" w:tentative="1">
      <w:start w:val="1"/>
      <w:numFmt w:val="bullet"/>
      <w:lvlText w:val="•"/>
      <w:lvlJc w:val="left"/>
      <w:pPr>
        <w:tabs>
          <w:tab w:val="num" w:pos="2160"/>
        </w:tabs>
        <w:ind w:left="2160" w:hanging="360"/>
      </w:pPr>
      <w:rPr>
        <w:rFonts w:ascii="Arial" w:hAnsi="Arial" w:hint="default"/>
      </w:rPr>
    </w:lvl>
    <w:lvl w:ilvl="3" w:tplc="21BC9A5A" w:tentative="1">
      <w:start w:val="1"/>
      <w:numFmt w:val="bullet"/>
      <w:lvlText w:val="•"/>
      <w:lvlJc w:val="left"/>
      <w:pPr>
        <w:tabs>
          <w:tab w:val="num" w:pos="2880"/>
        </w:tabs>
        <w:ind w:left="2880" w:hanging="360"/>
      </w:pPr>
      <w:rPr>
        <w:rFonts w:ascii="Arial" w:hAnsi="Arial" w:hint="default"/>
      </w:rPr>
    </w:lvl>
    <w:lvl w:ilvl="4" w:tplc="1DC8C3B0" w:tentative="1">
      <w:start w:val="1"/>
      <w:numFmt w:val="bullet"/>
      <w:lvlText w:val="•"/>
      <w:lvlJc w:val="left"/>
      <w:pPr>
        <w:tabs>
          <w:tab w:val="num" w:pos="3600"/>
        </w:tabs>
        <w:ind w:left="3600" w:hanging="360"/>
      </w:pPr>
      <w:rPr>
        <w:rFonts w:ascii="Arial" w:hAnsi="Arial" w:hint="default"/>
      </w:rPr>
    </w:lvl>
    <w:lvl w:ilvl="5" w:tplc="D3249644" w:tentative="1">
      <w:start w:val="1"/>
      <w:numFmt w:val="bullet"/>
      <w:lvlText w:val="•"/>
      <w:lvlJc w:val="left"/>
      <w:pPr>
        <w:tabs>
          <w:tab w:val="num" w:pos="4320"/>
        </w:tabs>
        <w:ind w:left="4320" w:hanging="360"/>
      </w:pPr>
      <w:rPr>
        <w:rFonts w:ascii="Arial" w:hAnsi="Arial" w:hint="default"/>
      </w:rPr>
    </w:lvl>
    <w:lvl w:ilvl="6" w:tplc="3FFACD3C" w:tentative="1">
      <w:start w:val="1"/>
      <w:numFmt w:val="bullet"/>
      <w:lvlText w:val="•"/>
      <w:lvlJc w:val="left"/>
      <w:pPr>
        <w:tabs>
          <w:tab w:val="num" w:pos="5040"/>
        </w:tabs>
        <w:ind w:left="5040" w:hanging="360"/>
      </w:pPr>
      <w:rPr>
        <w:rFonts w:ascii="Arial" w:hAnsi="Arial" w:hint="default"/>
      </w:rPr>
    </w:lvl>
    <w:lvl w:ilvl="7" w:tplc="02AE4BF4" w:tentative="1">
      <w:start w:val="1"/>
      <w:numFmt w:val="bullet"/>
      <w:lvlText w:val="•"/>
      <w:lvlJc w:val="left"/>
      <w:pPr>
        <w:tabs>
          <w:tab w:val="num" w:pos="5760"/>
        </w:tabs>
        <w:ind w:left="5760" w:hanging="360"/>
      </w:pPr>
      <w:rPr>
        <w:rFonts w:ascii="Arial" w:hAnsi="Arial" w:hint="default"/>
      </w:rPr>
    </w:lvl>
    <w:lvl w:ilvl="8" w:tplc="2FF2D8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FB636A"/>
    <w:multiLevelType w:val="hybridMultilevel"/>
    <w:tmpl w:val="4454BAA0"/>
    <w:lvl w:ilvl="0" w:tplc="3A1A42B8">
      <w:start w:val="1"/>
      <w:numFmt w:val="bullet"/>
      <w:lvlText w:val="•"/>
      <w:lvlJc w:val="left"/>
      <w:pPr>
        <w:tabs>
          <w:tab w:val="num" w:pos="720"/>
        </w:tabs>
        <w:ind w:left="720" w:hanging="360"/>
      </w:pPr>
      <w:rPr>
        <w:rFonts w:ascii="Times New Roman" w:hAnsi="Times New Roman" w:hint="default"/>
      </w:rPr>
    </w:lvl>
    <w:lvl w:ilvl="1" w:tplc="E692F104" w:tentative="1">
      <w:start w:val="1"/>
      <w:numFmt w:val="bullet"/>
      <w:lvlText w:val="•"/>
      <w:lvlJc w:val="left"/>
      <w:pPr>
        <w:tabs>
          <w:tab w:val="num" w:pos="1440"/>
        </w:tabs>
        <w:ind w:left="1440" w:hanging="360"/>
      </w:pPr>
      <w:rPr>
        <w:rFonts w:ascii="Times New Roman" w:hAnsi="Times New Roman" w:hint="default"/>
      </w:rPr>
    </w:lvl>
    <w:lvl w:ilvl="2" w:tplc="B2446C56" w:tentative="1">
      <w:start w:val="1"/>
      <w:numFmt w:val="bullet"/>
      <w:lvlText w:val="•"/>
      <w:lvlJc w:val="left"/>
      <w:pPr>
        <w:tabs>
          <w:tab w:val="num" w:pos="2160"/>
        </w:tabs>
        <w:ind w:left="2160" w:hanging="360"/>
      </w:pPr>
      <w:rPr>
        <w:rFonts w:ascii="Times New Roman" w:hAnsi="Times New Roman" w:hint="default"/>
      </w:rPr>
    </w:lvl>
    <w:lvl w:ilvl="3" w:tplc="AE4AC440" w:tentative="1">
      <w:start w:val="1"/>
      <w:numFmt w:val="bullet"/>
      <w:lvlText w:val="•"/>
      <w:lvlJc w:val="left"/>
      <w:pPr>
        <w:tabs>
          <w:tab w:val="num" w:pos="2880"/>
        </w:tabs>
        <w:ind w:left="2880" w:hanging="360"/>
      </w:pPr>
      <w:rPr>
        <w:rFonts w:ascii="Times New Roman" w:hAnsi="Times New Roman" w:hint="default"/>
      </w:rPr>
    </w:lvl>
    <w:lvl w:ilvl="4" w:tplc="66124D80" w:tentative="1">
      <w:start w:val="1"/>
      <w:numFmt w:val="bullet"/>
      <w:lvlText w:val="•"/>
      <w:lvlJc w:val="left"/>
      <w:pPr>
        <w:tabs>
          <w:tab w:val="num" w:pos="3600"/>
        </w:tabs>
        <w:ind w:left="3600" w:hanging="360"/>
      </w:pPr>
      <w:rPr>
        <w:rFonts w:ascii="Times New Roman" w:hAnsi="Times New Roman" w:hint="default"/>
      </w:rPr>
    </w:lvl>
    <w:lvl w:ilvl="5" w:tplc="842272CA" w:tentative="1">
      <w:start w:val="1"/>
      <w:numFmt w:val="bullet"/>
      <w:lvlText w:val="•"/>
      <w:lvlJc w:val="left"/>
      <w:pPr>
        <w:tabs>
          <w:tab w:val="num" w:pos="4320"/>
        </w:tabs>
        <w:ind w:left="4320" w:hanging="360"/>
      </w:pPr>
      <w:rPr>
        <w:rFonts w:ascii="Times New Roman" w:hAnsi="Times New Roman" w:hint="default"/>
      </w:rPr>
    </w:lvl>
    <w:lvl w:ilvl="6" w:tplc="35648CEA" w:tentative="1">
      <w:start w:val="1"/>
      <w:numFmt w:val="bullet"/>
      <w:lvlText w:val="•"/>
      <w:lvlJc w:val="left"/>
      <w:pPr>
        <w:tabs>
          <w:tab w:val="num" w:pos="5040"/>
        </w:tabs>
        <w:ind w:left="5040" w:hanging="360"/>
      </w:pPr>
      <w:rPr>
        <w:rFonts w:ascii="Times New Roman" w:hAnsi="Times New Roman" w:hint="default"/>
      </w:rPr>
    </w:lvl>
    <w:lvl w:ilvl="7" w:tplc="9126DD12" w:tentative="1">
      <w:start w:val="1"/>
      <w:numFmt w:val="bullet"/>
      <w:lvlText w:val="•"/>
      <w:lvlJc w:val="left"/>
      <w:pPr>
        <w:tabs>
          <w:tab w:val="num" w:pos="5760"/>
        </w:tabs>
        <w:ind w:left="5760" w:hanging="360"/>
      </w:pPr>
      <w:rPr>
        <w:rFonts w:ascii="Times New Roman" w:hAnsi="Times New Roman" w:hint="default"/>
      </w:rPr>
    </w:lvl>
    <w:lvl w:ilvl="8" w:tplc="7C16C17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C2B4724"/>
    <w:multiLevelType w:val="hybridMultilevel"/>
    <w:tmpl w:val="A274A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5382314">
    <w:abstractNumId w:val="2"/>
  </w:num>
  <w:num w:numId="2" w16cid:durableId="1910113698">
    <w:abstractNumId w:val="8"/>
  </w:num>
  <w:num w:numId="3" w16cid:durableId="405613309">
    <w:abstractNumId w:val="25"/>
  </w:num>
  <w:num w:numId="4" w16cid:durableId="240213499">
    <w:abstractNumId w:val="14"/>
  </w:num>
  <w:num w:numId="5" w16cid:durableId="740492638">
    <w:abstractNumId w:val="4"/>
  </w:num>
  <w:num w:numId="6" w16cid:durableId="211576891">
    <w:abstractNumId w:val="23"/>
  </w:num>
  <w:num w:numId="7" w16cid:durableId="1918248069">
    <w:abstractNumId w:val="6"/>
  </w:num>
  <w:num w:numId="8" w16cid:durableId="1159419045">
    <w:abstractNumId w:val="28"/>
  </w:num>
  <w:num w:numId="9" w16cid:durableId="1798374138">
    <w:abstractNumId w:val="5"/>
  </w:num>
  <w:num w:numId="10" w16cid:durableId="1530677457">
    <w:abstractNumId w:val="24"/>
  </w:num>
  <w:num w:numId="11" w16cid:durableId="984315201">
    <w:abstractNumId w:val="1"/>
  </w:num>
  <w:num w:numId="12" w16cid:durableId="776219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55103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9389165">
    <w:abstractNumId w:val="15"/>
  </w:num>
  <w:num w:numId="15" w16cid:durableId="1323195451">
    <w:abstractNumId w:val="12"/>
  </w:num>
  <w:num w:numId="16" w16cid:durableId="467165265">
    <w:abstractNumId w:val="9"/>
  </w:num>
  <w:num w:numId="17" w16cid:durableId="676033370">
    <w:abstractNumId w:val="11"/>
  </w:num>
  <w:num w:numId="18" w16cid:durableId="1742554342">
    <w:abstractNumId w:val="17"/>
  </w:num>
  <w:num w:numId="19" w16cid:durableId="613287013">
    <w:abstractNumId w:val="20"/>
  </w:num>
  <w:num w:numId="20" w16cid:durableId="8067070">
    <w:abstractNumId w:val="10"/>
  </w:num>
  <w:num w:numId="21" w16cid:durableId="825434180">
    <w:abstractNumId w:val="0"/>
  </w:num>
  <w:num w:numId="22" w16cid:durableId="1082681076">
    <w:abstractNumId w:val="22"/>
  </w:num>
  <w:num w:numId="23" w16cid:durableId="1901165520">
    <w:abstractNumId w:val="27"/>
  </w:num>
  <w:num w:numId="24" w16cid:durableId="1991010767">
    <w:abstractNumId w:val="21"/>
  </w:num>
  <w:num w:numId="25" w16cid:durableId="1542282676">
    <w:abstractNumId w:val="16"/>
  </w:num>
  <w:num w:numId="26" w16cid:durableId="986973659">
    <w:abstractNumId w:val="13"/>
  </w:num>
  <w:num w:numId="27" w16cid:durableId="815336034">
    <w:abstractNumId w:val="26"/>
  </w:num>
  <w:num w:numId="28" w16cid:durableId="1895651473">
    <w:abstractNumId w:val="7"/>
  </w:num>
  <w:num w:numId="29" w16cid:durableId="1858687908">
    <w:abstractNumId w:val="3"/>
  </w:num>
  <w:num w:numId="30" w16cid:durableId="17581644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43"/>
    <w:rsid w:val="00000954"/>
    <w:rsid w:val="00001C42"/>
    <w:rsid w:val="00001E72"/>
    <w:rsid w:val="0000226C"/>
    <w:rsid w:val="0000363D"/>
    <w:rsid w:val="00004596"/>
    <w:rsid w:val="00005419"/>
    <w:rsid w:val="000054D2"/>
    <w:rsid w:val="00005B3F"/>
    <w:rsid w:val="00006511"/>
    <w:rsid w:val="00006C79"/>
    <w:rsid w:val="000070E2"/>
    <w:rsid w:val="00010564"/>
    <w:rsid w:val="000118C2"/>
    <w:rsid w:val="0001227F"/>
    <w:rsid w:val="00015933"/>
    <w:rsid w:val="000159E5"/>
    <w:rsid w:val="0001656C"/>
    <w:rsid w:val="000175B3"/>
    <w:rsid w:val="000176E6"/>
    <w:rsid w:val="000202BA"/>
    <w:rsid w:val="00020581"/>
    <w:rsid w:val="00020ED0"/>
    <w:rsid w:val="00020FE5"/>
    <w:rsid w:val="000213CC"/>
    <w:rsid w:val="000221E0"/>
    <w:rsid w:val="00023E9F"/>
    <w:rsid w:val="0002473E"/>
    <w:rsid w:val="000264B4"/>
    <w:rsid w:val="000265A3"/>
    <w:rsid w:val="00027099"/>
    <w:rsid w:val="00027B22"/>
    <w:rsid w:val="00027BAD"/>
    <w:rsid w:val="00031418"/>
    <w:rsid w:val="00031478"/>
    <w:rsid w:val="00035040"/>
    <w:rsid w:val="00036FAB"/>
    <w:rsid w:val="00037707"/>
    <w:rsid w:val="00037C17"/>
    <w:rsid w:val="00040FA4"/>
    <w:rsid w:val="00043889"/>
    <w:rsid w:val="00043DB1"/>
    <w:rsid w:val="00044002"/>
    <w:rsid w:val="000444EA"/>
    <w:rsid w:val="000458CD"/>
    <w:rsid w:val="0004612A"/>
    <w:rsid w:val="00047DF1"/>
    <w:rsid w:val="000509DD"/>
    <w:rsid w:val="00050AF7"/>
    <w:rsid w:val="00051022"/>
    <w:rsid w:val="00051A5B"/>
    <w:rsid w:val="00052C6A"/>
    <w:rsid w:val="00053780"/>
    <w:rsid w:val="00053EE4"/>
    <w:rsid w:val="000559DE"/>
    <w:rsid w:val="00055CBC"/>
    <w:rsid w:val="000563EB"/>
    <w:rsid w:val="00056A4F"/>
    <w:rsid w:val="00057396"/>
    <w:rsid w:val="000606C6"/>
    <w:rsid w:val="00060D7F"/>
    <w:rsid w:val="00066F52"/>
    <w:rsid w:val="0006711A"/>
    <w:rsid w:val="00072447"/>
    <w:rsid w:val="00072DB9"/>
    <w:rsid w:val="000733AD"/>
    <w:rsid w:val="0007445A"/>
    <w:rsid w:val="00074C45"/>
    <w:rsid w:val="000752D6"/>
    <w:rsid w:val="00075932"/>
    <w:rsid w:val="0007638A"/>
    <w:rsid w:val="00076C37"/>
    <w:rsid w:val="000770D8"/>
    <w:rsid w:val="00080102"/>
    <w:rsid w:val="00081E35"/>
    <w:rsid w:val="00083D1A"/>
    <w:rsid w:val="000841C2"/>
    <w:rsid w:val="000842AE"/>
    <w:rsid w:val="00084CF9"/>
    <w:rsid w:val="00086094"/>
    <w:rsid w:val="00086BE0"/>
    <w:rsid w:val="0008743D"/>
    <w:rsid w:val="000900C9"/>
    <w:rsid w:val="0009101B"/>
    <w:rsid w:val="00091B3B"/>
    <w:rsid w:val="0009491E"/>
    <w:rsid w:val="00097293"/>
    <w:rsid w:val="0009748D"/>
    <w:rsid w:val="000976B9"/>
    <w:rsid w:val="00097B42"/>
    <w:rsid w:val="000A019A"/>
    <w:rsid w:val="000A0285"/>
    <w:rsid w:val="000A0ECE"/>
    <w:rsid w:val="000A16EA"/>
    <w:rsid w:val="000A2779"/>
    <w:rsid w:val="000A29DE"/>
    <w:rsid w:val="000A2C3B"/>
    <w:rsid w:val="000A3ECF"/>
    <w:rsid w:val="000A4D59"/>
    <w:rsid w:val="000A5220"/>
    <w:rsid w:val="000A549A"/>
    <w:rsid w:val="000A664C"/>
    <w:rsid w:val="000B064D"/>
    <w:rsid w:val="000B0992"/>
    <w:rsid w:val="000B2005"/>
    <w:rsid w:val="000B3BFA"/>
    <w:rsid w:val="000B4C8F"/>
    <w:rsid w:val="000B510F"/>
    <w:rsid w:val="000B51A4"/>
    <w:rsid w:val="000B70C8"/>
    <w:rsid w:val="000B79A4"/>
    <w:rsid w:val="000C045B"/>
    <w:rsid w:val="000C11CC"/>
    <w:rsid w:val="000C12F1"/>
    <w:rsid w:val="000C1E4E"/>
    <w:rsid w:val="000C234E"/>
    <w:rsid w:val="000C3211"/>
    <w:rsid w:val="000C4910"/>
    <w:rsid w:val="000C502F"/>
    <w:rsid w:val="000C5651"/>
    <w:rsid w:val="000C6834"/>
    <w:rsid w:val="000D011A"/>
    <w:rsid w:val="000D02A4"/>
    <w:rsid w:val="000D1749"/>
    <w:rsid w:val="000D1D61"/>
    <w:rsid w:val="000D32BB"/>
    <w:rsid w:val="000D49D0"/>
    <w:rsid w:val="000D4F26"/>
    <w:rsid w:val="000D56F1"/>
    <w:rsid w:val="000D5D2B"/>
    <w:rsid w:val="000D684D"/>
    <w:rsid w:val="000D6EF9"/>
    <w:rsid w:val="000E087A"/>
    <w:rsid w:val="000E0B50"/>
    <w:rsid w:val="000E0C43"/>
    <w:rsid w:val="000E1975"/>
    <w:rsid w:val="000E2B4E"/>
    <w:rsid w:val="000E2FCE"/>
    <w:rsid w:val="000E3B1C"/>
    <w:rsid w:val="000E4810"/>
    <w:rsid w:val="000E4ABC"/>
    <w:rsid w:val="000E563F"/>
    <w:rsid w:val="000E59CE"/>
    <w:rsid w:val="000F02C1"/>
    <w:rsid w:val="000F02FD"/>
    <w:rsid w:val="000F0342"/>
    <w:rsid w:val="000F0636"/>
    <w:rsid w:val="000F0A03"/>
    <w:rsid w:val="000F426C"/>
    <w:rsid w:val="000F4318"/>
    <w:rsid w:val="000F617D"/>
    <w:rsid w:val="000F61F5"/>
    <w:rsid w:val="000F680C"/>
    <w:rsid w:val="000F70CA"/>
    <w:rsid w:val="00100269"/>
    <w:rsid w:val="001002CD"/>
    <w:rsid w:val="00100394"/>
    <w:rsid w:val="0010159F"/>
    <w:rsid w:val="00102262"/>
    <w:rsid w:val="0010268F"/>
    <w:rsid w:val="0010277A"/>
    <w:rsid w:val="00102D9A"/>
    <w:rsid w:val="00103662"/>
    <w:rsid w:val="0010371D"/>
    <w:rsid w:val="00105514"/>
    <w:rsid w:val="00105918"/>
    <w:rsid w:val="00105ACC"/>
    <w:rsid w:val="00105DB5"/>
    <w:rsid w:val="00106451"/>
    <w:rsid w:val="00106D78"/>
    <w:rsid w:val="00106F70"/>
    <w:rsid w:val="00107915"/>
    <w:rsid w:val="001102C6"/>
    <w:rsid w:val="001104C5"/>
    <w:rsid w:val="001106DD"/>
    <w:rsid w:val="00110C31"/>
    <w:rsid w:val="0011113B"/>
    <w:rsid w:val="001126B2"/>
    <w:rsid w:val="00112AA1"/>
    <w:rsid w:val="00112C5A"/>
    <w:rsid w:val="00112D3E"/>
    <w:rsid w:val="00112E70"/>
    <w:rsid w:val="0011443F"/>
    <w:rsid w:val="0011553C"/>
    <w:rsid w:val="00115D53"/>
    <w:rsid w:val="00115DDC"/>
    <w:rsid w:val="00116003"/>
    <w:rsid w:val="00116F4B"/>
    <w:rsid w:val="001177C9"/>
    <w:rsid w:val="00117860"/>
    <w:rsid w:val="00120FB7"/>
    <w:rsid w:val="001226BC"/>
    <w:rsid w:val="00122810"/>
    <w:rsid w:val="00122CC4"/>
    <w:rsid w:val="0012351B"/>
    <w:rsid w:val="00123FF9"/>
    <w:rsid w:val="00124EF9"/>
    <w:rsid w:val="001253CC"/>
    <w:rsid w:val="001259D2"/>
    <w:rsid w:val="00126A7F"/>
    <w:rsid w:val="00130063"/>
    <w:rsid w:val="00130359"/>
    <w:rsid w:val="001306A2"/>
    <w:rsid w:val="00131D36"/>
    <w:rsid w:val="00131E94"/>
    <w:rsid w:val="00132EE9"/>
    <w:rsid w:val="0013407D"/>
    <w:rsid w:val="001348D9"/>
    <w:rsid w:val="00134A41"/>
    <w:rsid w:val="001361CA"/>
    <w:rsid w:val="00136519"/>
    <w:rsid w:val="00136825"/>
    <w:rsid w:val="00136D3A"/>
    <w:rsid w:val="00136EC9"/>
    <w:rsid w:val="00136FC5"/>
    <w:rsid w:val="00137050"/>
    <w:rsid w:val="0013716D"/>
    <w:rsid w:val="00137560"/>
    <w:rsid w:val="00140E10"/>
    <w:rsid w:val="001422C8"/>
    <w:rsid w:val="001438F4"/>
    <w:rsid w:val="00143BF5"/>
    <w:rsid w:val="00143DCC"/>
    <w:rsid w:val="00144794"/>
    <w:rsid w:val="00144D53"/>
    <w:rsid w:val="00145506"/>
    <w:rsid w:val="001457AA"/>
    <w:rsid w:val="00145E7A"/>
    <w:rsid w:val="00146F46"/>
    <w:rsid w:val="0015125A"/>
    <w:rsid w:val="00151A74"/>
    <w:rsid w:val="001526EE"/>
    <w:rsid w:val="0015295E"/>
    <w:rsid w:val="00152A73"/>
    <w:rsid w:val="001534F6"/>
    <w:rsid w:val="00154EE2"/>
    <w:rsid w:val="001553F8"/>
    <w:rsid w:val="00155A3F"/>
    <w:rsid w:val="00157080"/>
    <w:rsid w:val="001570E1"/>
    <w:rsid w:val="00157C6A"/>
    <w:rsid w:val="001605B3"/>
    <w:rsid w:val="001622C2"/>
    <w:rsid w:val="00162D23"/>
    <w:rsid w:val="001633ED"/>
    <w:rsid w:val="00163F5F"/>
    <w:rsid w:val="00165DDC"/>
    <w:rsid w:val="0016769F"/>
    <w:rsid w:val="00170298"/>
    <w:rsid w:val="001715A2"/>
    <w:rsid w:val="0017388B"/>
    <w:rsid w:val="00173D31"/>
    <w:rsid w:val="0017441E"/>
    <w:rsid w:val="00175839"/>
    <w:rsid w:val="00175A85"/>
    <w:rsid w:val="00175E6C"/>
    <w:rsid w:val="00175FBC"/>
    <w:rsid w:val="00176669"/>
    <w:rsid w:val="001766FF"/>
    <w:rsid w:val="00176C20"/>
    <w:rsid w:val="00177598"/>
    <w:rsid w:val="00180856"/>
    <w:rsid w:val="0018097B"/>
    <w:rsid w:val="00180A13"/>
    <w:rsid w:val="00182C97"/>
    <w:rsid w:val="00183066"/>
    <w:rsid w:val="001833C7"/>
    <w:rsid w:val="00183FB4"/>
    <w:rsid w:val="00184412"/>
    <w:rsid w:val="00186A72"/>
    <w:rsid w:val="001903B2"/>
    <w:rsid w:val="001906F3"/>
    <w:rsid w:val="00192933"/>
    <w:rsid w:val="001929FC"/>
    <w:rsid w:val="00195C6D"/>
    <w:rsid w:val="001961C5"/>
    <w:rsid w:val="00196F95"/>
    <w:rsid w:val="00197315"/>
    <w:rsid w:val="0019772B"/>
    <w:rsid w:val="001A05A9"/>
    <w:rsid w:val="001A2614"/>
    <w:rsid w:val="001A2623"/>
    <w:rsid w:val="001A463E"/>
    <w:rsid w:val="001A46CC"/>
    <w:rsid w:val="001A6304"/>
    <w:rsid w:val="001B1060"/>
    <w:rsid w:val="001B11F1"/>
    <w:rsid w:val="001B1467"/>
    <w:rsid w:val="001B1C5E"/>
    <w:rsid w:val="001B2B23"/>
    <w:rsid w:val="001B3197"/>
    <w:rsid w:val="001B39D3"/>
    <w:rsid w:val="001B59D9"/>
    <w:rsid w:val="001B5F14"/>
    <w:rsid w:val="001B6935"/>
    <w:rsid w:val="001B7154"/>
    <w:rsid w:val="001C091C"/>
    <w:rsid w:val="001C121C"/>
    <w:rsid w:val="001C150C"/>
    <w:rsid w:val="001C1FAA"/>
    <w:rsid w:val="001C2261"/>
    <w:rsid w:val="001C266E"/>
    <w:rsid w:val="001C280D"/>
    <w:rsid w:val="001C306A"/>
    <w:rsid w:val="001C49DC"/>
    <w:rsid w:val="001C6945"/>
    <w:rsid w:val="001C698F"/>
    <w:rsid w:val="001C7200"/>
    <w:rsid w:val="001C7CD3"/>
    <w:rsid w:val="001C7F88"/>
    <w:rsid w:val="001D12D6"/>
    <w:rsid w:val="001D169B"/>
    <w:rsid w:val="001D1B1C"/>
    <w:rsid w:val="001D2B76"/>
    <w:rsid w:val="001D2C14"/>
    <w:rsid w:val="001D2ECE"/>
    <w:rsid w:val="001D3292"/>
    <w:rsid w:val="001D39E5"/>
    <w:rsid w:val="001D3C90"/>
    <w:rsid w:val="001D43DB"/>
    <w:rsid w:val="001D474C"/>
    <w:rsid w:val="001D5BB9"/>
    <w:rsid w:val="001D6B1A"/>
    <w:rsid w:val="001D7365"/>
    <w:rsid w:val="001D7DA5"/>
    <w:rsid w:val="001E15FD"/>
    <w:rsid w:val="001E1AED"/>
    <w:rsid w:val="001E27B8"/>
    <w:rsid w:val="001E31AB"/>
    <w:rsid w:val="001E3706"/>
    <w:rsid w:val="001E4032"/>
    <w:rsid w:val="001E432A"/>
    <w:rsid w:val="001E4370"/>
    <w:rsid w:val="001E4D27"/>
    <w:rsid w:val="001E5169"/>
    <w:rsid w:val="001E5571"/>
    <w:rsid w:val="001E60C5"/>
    <w:rsid w:val="001E6F5D"/>
    <w:rsid w:val="001E71FE"/>
    <w:rsid w:val="001F0819"/>
    <w:rsid w:val="001F1677"/>
    <w:rsid w:val="001F2A1F"/>
    <w:rsid w:val="001F3DF4"/>
    <w:rsid w:val="001F49EA"/>
    <w:rsid w:val="001F5CF7"/>
    <w:rsid w:val="001F64C3"/>
    <w:rsid w:val="001F6A78"/>
    <w:rsid w:val="001F72D8"/>
    <w:rsid w:val="001F7B28"/>
    <w:rsid w:val="002010C8"/>
    <w:rsid w:val="0020111C"/>
    <w:rsid w:val="0020121A"/>
    <w:rsid w:val="00201DDA"/>
    <w:rsid w:val="002027D4"/>
    <w:rsid w:val="0020296D"/>
    <w:rsid w:val="00203021"/>
    <w:rsid w:val="00203302"/>
    <w:rsid w:val="00203A7B"/>
    <w:rsid w:val="002045A5"/>
    <w:rsid w:val="00204F09"/>
    <w:rsid w:val="0020667A"/>
    <w:rsid w:val="00206F7E"/>
    <w:rsid w:val="00207AE7"/>
    <w:rsid w:val="00207CB1"/>
    <w:rsid w:val="002105A2"/>
    <w:rsid w:val="00210A9C"/>
    <w:rsid w:val="00211E6F"/>
    <w:rsid w:val="002128AF"/>
    <w:rsid w:val="002137B0"/>
    <w:rsid w:val="002138C0"/>
    <w:rsid w:val="002150BF"/>
    <w:rsid w:val="00215481"/>
    <w:rsid w:val="00216187"/>
    <w:rsid w:val="00216A54"/>
    <w:rsid w:val="00217881"/>
    <w:rsid w:val="0022075B"/>
    <w:rsid w:val="00221F77"/>
    <w:rsid w:val="00221FF5"/>
    <w:rsid w:val="002226C1"/>
    <w:rsid w:val="00222917"/>
    <w:rsid w:val="00222DB9"/>
    <w:rsid w:val="002244BA"/>
    <w:rsid w:val="00224E2B"/>
    <w:rsid w:val="0022581B"/>
    <w:rsid w:val="00225F51"/>
    <w:rsid w:val="0022648E"/>
    <w:rsid w:val="00226AB8"/>
    <w:rsid w:val="00226F32"/>
    <w:rsid w:val="00227ACD"/>
    <w:rsid w:val="00227C82"/>
    <w:rsid w:val="0023165F"/>
    <w:rsid w:val="00231F3A"/>
    <w:rsid w:val="002328F4"/>
    <w:rsid w:val="0023390F"/>
    <w:rsid w:val="0023393E"/>
    <w:rsid w:val="0023493E"/>
    <w:rsid w:val="00235942"/>
    <w:rsid w:val="00236538"/>
    <w:rsid w:val="0023703D"/>
    <w:rsid w:val="002375B2"/>
    <w:rsid w:val="00237A71"/>
    <w:rsid w:val="00237E0B"/>
    <w:rsid w:val="00242D73"/>
    <w:rsid w:val="002443DF"/>
    <w:rsid w:val="002446E1"/>
    <w:rsid w:val="00244923"/>
    <w:rsid w:val="002472A6"/>
    <w:rsid w:val="00247512"/>
    <w:rsid w:val="00247A4D"/>
    <w:rsid w:val="00250212"/>
    <w:rsid w:val="002507F2"/>
    <w:rsid w:val="00250C73"/>
    <w:rsid w:val="00251163"/>
    <w:rsid w:val="00251393"/>
    <w:rsid w:val="0025241A"/>
    <w:rsid w:val="0025305E"/>
    <w:rsid w:val="00253D09"/>
    <w:rsid w:val="00254CA2"/>
    <w:rsid w:val="002556C2"/>
    <w:rsid w:val="00256268"/>
    <w:rsid w:val="002567A3"/>
    <w:rsid w:val="00260219"/>
    <w:rsid w:val="00260B2C"/>
    <w:rsid w:val="0026106F"/>
    <w:rsid w:val="00262B7F"/>
    <w:rsid w:val="00263207"/>
    <w:rsid w:val="00264741"/>
    <w:rsid w:val="00264C92"/>
    <w:rsid w:val="0026639E"/>
    <w:rsid w:val="00266980"/>
    <w:rsid w:val="00267ACA"/>
    <w:rsid w:val="00270A4E"/>
    <w:rsid w:val="00270F52"/>
    <w:rsid w:val="00271563"/>
    <w:rsid w:val="00271569"/>
    <w:rsid w:val="00272177"/>
    <w:rsid w:val="002748F6"/>
    <w:rsid w:val="00274D15"/>
    <w:rsid w:val="00275209"/>
    <w:rsid w:val="00277D90"/>
    <w:rsid w:val="0028055F"/>
    <w:rsid w:val="002808DB"/>
    <w:rsid w:val="00280AB4"/>
    <w:rsid w:val="00280D31"/>
    <w:rsid w:val="00280F92"/>
    <w:rsid w:val="002817B5"/>
    <w:rsid w:val="00282BE6"/>
    <w:rsid w:val="00283681"/>
    <w:rsid w:val="00284721"/>
    <w:rsid w:val="0028530F"/>
    <w:rsid w:val="002853A9"/>
    <w:rsid w:val="00285A75"/>
    <w:rsid w:val="00287580"/>
    <w:rsid w:val="00290498"/>
    <w:rsid w:val="0029071C"/>
    <w:rsid w:val="00291656"/>
    <w:rsid w:val="00291BE8"/>
    <w:rsid w:val="00293122"/>
    <w:rsid w:val="0029502E"/>
    <w:rsid w:val="00296021"/>
    <w:rsid w:val="0029774E"/>
    <w:rsid w:val="00297B85"/>
    <w:rsid w:val="002A02A1"/>
    <w:rsid w:val="002A04EB"/>
    <w:rsid w:val="002A07F7"/>
    <w:rsid w:val="002A1748"/>
    <w:rsid w:val="002A23FA"/>
    <w:rsid w:val="002A266C"/>
    <w:rsid w:val="002A2CE3"/>
    <w:rsid w:val="002A31A1"/>
    <w:rsid w:val="002A3CF3"/>
    <w:rsid w:val="002A3F7E"/>
    <w:rsid w:val="002A4191"/>
    <w:rsid w:val="002A5D11"/>
    <w:rsid w:val="002A6290"/>
    <w:rsid w:val="002A6A60"/>
    <w:rsid w:val="002A787C"/>
    <w:rsid w:val="002B1743"/>
    <w:rsid w:val="002B1996"/>
    <w:rsid w:val="002B3AB2"/>
    <w:rsid w:val="002B4617"/>
    <w:rsid w:val="002B4641"/>
    <w:rsid w:val="002B5069"/>
    <w:rsid w:val="002B58A5"/>
    <w:rsid w:val="002B724C"/>
    <w:rsid w:val="002C02A9"/>
    <w:rsid w:val="002C0719"/>
    <w:rsid w:val="002C179D"/>
    <w:rsid w:val="002C18CD"/>
    <w:rsid w:val="002C2C2B"/>
    <w:rsid w:val="002C30D4"/>
    <w:rsid w:val="002C47FE"/>
    <w:rsid w:val="002C513E"/>
    <w:rsid w:val="002D1376"/>
    <w:rsid w:val="002D238E"/>
    <w:rsid w:val="002D2A30"/>
    <w:rsid w:val="002D2DC7"/>
    <w:rsid w:val="002D3F94"/>
    <w:rsid w:val="002D4720"/>
    <w:rsid w:val="002D49FB"/>
    <w:rsid w:val="002D4A25"/>
    <w:rsid w:val="002D4DF8"/>
    <w:rsid w:val="002D6038"/>
    <w:rsid w:val="002E0041"/>
    <w:rsid w:val="002E1390"/>
    <w:rsid w:val="002E1AEB"/>
    <w:rsid w:val="002E1DBF"/>
    <w:rsid w:val="002E2498"/>
    <w:rsid w:val="002E3105"/>
    <w:rsid w:val="002E320D"/>
    <w:rsid w:val="002E3E1D"/>
    <w:rsid w:val="002E4CA1"/>
    <w:rsid w:val="002E4EFD"/>
    <w:rsid w:val="002E5E57"/>
    <w:rsid w:val="002E6192"/>
    <w:rsid w:val="002E6312"/>
    <w:rsid w:val="002E6C7C"/>
    <w:rsid w:val="002F0118"/>
    <w:rsid w:val="002F0F08"/>
    <w:rsid w:val="002F1752"/>
    <w:rsid w:val="002F1AFD"/>
    <w:rsid w:val="002F20C7"/>
    <w:rsid w:val="002F2F90"/>
    <w:rsid w:val="002F2FAA"/>
    <w:rsid w:val="002F4373"/>
    <w:rsid w:val="002F477C"/>
    <w:rsid w:val="002F4A74"/>
    <w:rsid w:val="002F4CBD"/>
    <w:rsid w:val="002F4CDA"/>
    <w:rsid w:val="002F506A"/>
    <w:rsid w:val="002F52DA"/>
    <w:rsid w:val="002F557F"/>
    <w:rsid w:val="002F6432"/>
    <w:rsid w:val="003012B9"/>
    <w:rsid w:val="0030161E"/>
    <w:rsid w:val="00301915"/>
    <w:rsid w:val="003028DC"/>
    <w:rsid w:val="003029D1"/>
    <w:rsid w:val="0030348A"/>
    <w:rsid w:val="003045DD"/>
    <w:rsid w:val="00304727"/>
    <w:rsid w:val="0030613B"/>
    <w:rsid w:val="00306844"/>
    <w:rsid w:val="003077DD"/>
    <w:rsid w:val="003111F3"/>
    <w:rsid w:val="003131EC"/>
    <w:rsid w:val="003134AE"/>
    <w:rsid w:val="003142AD"/>
    <w:rsid w:val="003143A4"/>
    <w:rsid w:val="00314AB6"/>
    <w:rsid w:val="00314CF6"/>
    <w:rsid w:val="00315F32"/>
    <w:rsid w:val="00316BAA"/>
    <w:rsid w:val="00317242"/>
    <w:rsid w:val="00320811"/>
    <w:rsid w:val="00322BF9"/>
    <w:rsid w:val="00324743"/>
    <w:rsid w:val="00324769"/>
    <w:rsid w:val="00324B27"/>
    <w:rsid w:val="003253AF"/>
    <w:rsid w:val="00327407"/>
    <w:rsid w:val="00327CB6"/>
    <w:rsid w:val="00330A92"/>
    <w:rsid w:val="0033298A"/>
    <w:rsid w:val="00333B31"/>
    <w:rsid w:val="00334257"/>
    <w:rsid w:val="0033440C"/>
    <w:rsid w:val="00335341"/>
    <w:rsid w:val="003358CB"/>
    <w:rsid w:val="00335B88"/>
    <w:rsid w:val="00336412"/>
    <w:rsid w:val="00336CA6"/>
    <w:rsid w:val="00337157"/>
    <w:rsid w:val="003373BE"/>
    <w:rsid w:val="00340F22"/>
    <w:rsid w:val="003411DB"/>
    <w:rsid w:val="003417B4"/>
    <w:rsid w:val="00341D86"/>
    <w:rsid w:val="003423A7"/>
    <w:rsid w:val="003426EE"/>
    <w:rsid w:val="0034310E"/>
    <w:rsid w:val="00344213"/>
    <w:rsid w:val="003444F4"/>
    <w:rsid w:val="00344B88"/>
    <w:rsid w:val="00344EBB"/>
    <w:rsid w:val="00345842"/>
    <w:rsid w:val="0034612F"/>
    <w:rsid w:val="00346684"/>
    <w:rsid w:val="003472AF"/>
    <w:rsid w:val="00347FD9"/>
    <w:rsid w:val="003508FE"/>
    <w:rsid w:val="00351369"/>
    <w:rsid w:val="0035167B"/>
    <w:rsid w:val="003522BD"/>
    <w:rsid w:val="00352D4E"/>
    <w:rsid w:val="003543D2"/>
    <w:rsid w:val="0035493D"/>
    <w:rsid w:val="00356528"/>
    <w:rsid w:val="00356C7A"/>
    <w:rsid w:val="00356FF7"/>
    <w:rsid w:val="0035718C"/>
    <w:rsid w:val="003600A2"/>
    <w:rsid w:val="003608A1"/>
    <w:rsid w:val="003608FD"/>
    <w:rsid w:val="0036420C"/>
    <w:rsid w:val="00364A11"/>
    <w:rsid w:val="00366057"/>
    <w:rsid w:val="00366A68"/>
    <w:rsid w:val="003677E2"/>
    <w:rsid w:val="0037051F"/>
    <w:rsid w:val="003707E0"/>
    <w:rsid w:val="00370F35"/>
    <w:rsid w:val="003725F0"/>
    <w:rsid w:val="003732C7"/>
    <w:rsid w:val="003739F0"/>
    <w:rsid w:val="00373FC2"/>
    <w:rsid w:val="003742A8"/>
    <w:rsid w:val="003749A5"/>
    <w:rsid w:val="00375CF8"/>
    <w:rsid w:val="00376918"/>
    <w:rsid w:val="00376F07"/>
    <w:rsid w:val="003775A3"/>
    <w:rsid w:val="00380502"/>
    <w:rsid w:val="00380788"/>
    <w:rsid w:val="003809CD"/>
    <w:rsid w:val="00381524"/>
    <w:rsid w:val="00381FAF"/>
    <w:rsid w:val="00383D10"/>
    <w:rsid w:val="00384170"/>
    <w:rsid w:val="003847A3"/>
    <w:rsid w:val="00385683"/>
    <w:rsid w:val="00386E7F"/>
    <w:rsid w:val="00387749"/>
    <w:rsid w:val="00387CB8"/>
    <w:rsid w:val="0039010C"/>
    <w:rsid w:val="00390C7F"/>
    <w:rsid w:val="00390E5C"/>
    <w:rsid w:val="00391AED"/>
    <w:rsid w:val="00391C4B"/>
    <w:rsid w:val="00391FA6"/>
    <w:rsid w:val="00393046"/>
    <w:rsid w:val="00394F6F"/>
    <w:rsid w:val="003952ED"/>
    <w:rsid w:val="00395549"/>
    <w:rsid w:val="00395F29"/>
    <w:rsid w:val="00396610"/>
    <w:rsid w:val="00396DEC"/>
    <w:rsid w:val="00396F9D"/>
    <w:rsid w:val="00397430"/>
    <w:rsid w:val="003A0443"/>
    <w:rsid w:val="003A0F5E"/>
    <w:rsid w:val="003A1E08"/>
    <w:rsid w:val="003A1F79"/>
    <w:rsid w:val="003A39B8"/>
    <w:rsid w:val="003A424B"/>
    <w:rsid w:val="003A46D3"/>
    <w:rsid w:val="003A542D"/>
    <w:rsid w:val="003A5636"/>
    <w:rsid w:val="003A5765"/>
    <w:rsid w:val="003A623D"/>
    <w:rsid w:val="003A68A3"/>
    <w:rsid w:val="003A76ED"/>
    <w:rsid w:val="003B0281"/>
    <w:rsid w:val="003B0433"/>
    <w:rsid w:val="003B04C1"/>
    <w:rsid w:val="003B2C84"/>
    <w:rsid w:val="003B4E23"/>
    <w:rsid w:val="003B4F01"/>
    <w:rsid w:val="003B505C"/>
    <w:rsid w:val="003B519E"/>
    <w:rsid w:val="003B5E6F"/>
    <w:rsid w:val="003C0B1B"/>
    <w:rsid w:val="003C1195"/>
    <w:rsid w:val="003C12B6"/>
    <w:rsid w:val="003C185F"/>
    <w:rsid w:val="003C2D27"/>
    <w:rsid w:val="003C373E"/>
    <w:rsid w:val="003C3D7F"/>
    <w:rsid w:val="003C41DD"/>
    <w:rsid w:val="003C5F2E"/>
    <w:rsid w:val="003C6326"/>
    <w:rsid w:val="003C6710"/>
    <w:rsid w:val="003C6D87"/>
    <w:rsid w:val="003C7600"/>
    <w:rsid w:val="003D079C"/>
    <w:rsid w:val="003D0D7D"/>
    <w:rsid w:val="003D164F"/>
    <w:rsid w:val="003D18F0"/>
    <w:rsid w:val="003D224C"/>
    <w:rsid w:val="003D2390"/>
    <w:rsid w:val="003D3759"/>
    <w:rsid w:val="003D45D4"/>
    <w:rsid w:val="003D57E2"/>
    <w:rsid w:val="003D613B"/>
    <w:rsid w:val="003D684B"/>
    <w:rsid w:val="003D749F"/>
    <w:rsid w:val="003D7D9E"/>
    <w:rsid w:val="003E0FC6"/>
    <w:rsid w:val="003E14DF"/>
    <w:rsid w:val="003E1F42"/>
    <w:rsid w:val="003E3584"/>
    <w:rsid w:val="003E382B"/>
    <w:rsid w:val="003E393C"/>
    <w:rsid w:val="003E3ACA"/>
    <w:rsid w:val="003E3DCB"/>
    <w:rsid w:val="003E4312"/>
    <w:rsid w:val="003E4820"/>
    <w:rsid w:val="003E48FA"/>
    <w:rsid w:val="003E4ADE"/>
    <w:rsid w:val="003E5891"/>
    <w:rsid w:val="003E7ED0"/>
    <w:rsid w:val="003F021E"/>
    <w:rsid w:val="003F03DF"/>
    <w:rsid w:val="003F1189"/>
    <w:rsid w:val="003F12BC"/>
    <w:rsid w:val="003F12D5"/>
    <w:rsid w:val="003F159E"/>
    <w:rsid w:val="003F1CB9"/>
    <w:rsid w:val="003F2050"/>
    <w:rsid w:val="003F37CA"/>
    <w:rsid w:val="003F470D"/>
    <w:rsid w:val="003F512D"/>
    <w:rsid w:val="003F6A8D"/>
    <w:rsid w:val="003F6E69"/>
    <w:rsid w:val="003F7F31"/>
    <w:rsid w:val="004009B6"/>
    <w:rsid w:val="00400E23"/>
    <w:rsid w:val="004015AF"/>
    <w:rsid w:val="00401CD3"/>
    <w:rsid w:val="00401F79"/>
    <w:rsid w:val="00402778"/>
    <w:rsid w:val="00402D75"/>
    <w:rsid w:val="00402FA1"/>
    <w:rsid w:val="00403744"/>
    <w:rsid w:val="0040474A"/>
    <w:rsid w:val="00405D7E"/>
    <w:rsid w:val="00406F40"/>
    <w:rsid w:val="00407FB6"/>
    <w:rsid w:val="00410561"/>
    <w:rsid w:val="004120D6"/>
    <w:rsid w:val="00412186"/>
    <w:rsid w:val="00412763"/>
    <w:rsid w:val="00412A2D"/>
    <w:rsid w:val="00413258"/>
    <w:rsid w:val="0041355F"/>
    <w:rsid w:val="00414181"/>
    <w:rsid w:val="0041427D"/>
    <w:rsid w:val="00414AD4"/>
    <w:rsid w:val="0041521E"/>
    <w:rsid w:val="004164DD"/>
    <w:rsid w:val="00416763"/>
    <w:rsid w:val="0041745A"/>
    <w:rsid w:val="004179B3"/>
    <w:rsid w:val="004207D5"/>
    <w:rsid w:val="00422B81"/>
    <w:rsid w:val="00422E44"/>
    <w:rsid w:val="004231FB"/>
    <w:rsid w:val="00423374"/>
    <w:rsid w:val="00423E0D"/>
    <w:rsid w:val="004257BB"/>
    <w:rsid w:val="00425A84"/>
    <w:rsid w:val="00425B3B"/>
    <w:rsid w:val="0042602B"/>
    <w:rsid w:val="004279BD"/>
    <w:rsid w:val="00430F3C"/>
    <w:rsid w:val="004325D3"/>
    <w:rsid w:val="00435176"/>
    <w:rsid w:val="004371EE"/>
    <w:rsid w:val="00437589"/>
    <w:rsid w:val="0043780A"/>
    <w:rsid w:val="00440A53"/>
    <w:rsid w:val="00442170"/>
    <w:rsid w:val="0044352D"/>
    <w:rsid w:val="004444EE"/>
    <w:rsid w:val="004445E7"/>
    <w:rsid w:val="00444BDA"/>
    <w:rsid w:val="00445609"/>
    <w:rsid w:val="004464CF"/>
    <w:rsid w:val="00446AAD"/>
    <w:rsid w:val="004476C2"/>
    <w:rsid w:val="00451368"/>
    <w:rsid w:val="004522D4"/>
    <w:rsid w:val="00453473"/>
    <w:rsid w:val="004555E6"/>
    <w:rsid w:val="00456A9B"/>
    <w:rsid w:val="00460772"/>
    <w:rsid w:val="00461E79"/>
    <w:rsid w:val="00462717"/>
    <w:rsid w:val="004641CC"/>
    <w:rsid w:val="00464E64"/>
    <w:rsid w:val="00465403"/>
    <w:rsid w:val="00465526"/>
    <w:rsid w:val="0046651A"/>
    <w:rsid w:val="004674AA"/>
    <w:rsid w:val="004714FB"/>
    <w:rsid w:val="004718BD"/>
    <w:rsid w:val="00471B86"/>
    <w:rsid w:val="00471D6F"/>
    <w:rsid w:val="00472210"/>
    <w:rsid w:val="00473C52"/>
    <w:rsid w:val="00474524"/>
    <w:rsid w:val="00475D5E"/>
    <w:rsid w:val="00475F13"/>
    <w:rsid w:val="0047661B"/>
    <w:rsid w:val="00476A2A"/>
    <w:rsid w:val="00477094"/>
    <w:rsid w:val="0047757F"/>
    <w:rsid w:val="00477AF5"/>
    <w:rsid w:val="00477CEB"/>
    <w:rsid w:val="00483136"/>
    <w:rsid w:val="0048354D"/>
    <w:rsid w:val="00483FA6"/>
    <w:rsid w:val="0048489E"/>
    <w:rsid w:val="004852E3"/>
    <w:rsid w:val="00485ADC"/>
    <w:rsid w:val="00486858"/>
    <w:rsid w:val="004904F6"/>
    <w:rsid w:val="00490505"/>
    <w:rsid w:val="004908DB"/>
    <w:rsid w:val="00490E1A"/>
    <w:rsid w:val="00491DB6"/>
    <w:rsid w:val="00492636"/>
    <w:rsid w:val="004935C1"/>
    <w:rsid w:val="00493A20"/>
    <w:rsid w:val="00493C14"/>
    <w:rsid w:val="00495C6A"/>
    <w:rsid w:val="004969D8"/>
    <w:rsid w:val="00496A0D"/>
    <w:rsid w:val="0049704E"/>
    <w:rsid w:val="004975FD"/>
    <w:rsid w:val="004979BF"/>
    <w:rsid w:val="004A1724"/>
    <w:rsid w:val="004A2349"/>
    <w:rsid w:val="004A31A7"/>
    <w:rsid w:val="004A435C"/>
    <w:rsid w:val="004A44DB"/>
    <w:rsid w:val="004A4D8B"/>
    <w:rsid w:val="004A4E6A"/>
    <w:rsid w:val="004A53BB"/>
    <w:rsid w:val="004A5819"/>
    <w:rsid w:val="004A5C0E"/>
    <w:rsid w:val="004A5D84"/>
    <w:rsid w:val="004A6CE0"/>
    <w:rsid w:val="004A724B"/>
    <w:rsid w:val="004A74F4"/>
    <w:rsid w:val="004B1175"/>
    <w:rsid w:val="004B1442"/>
    <w:rsid w:val="004B1766"/>
    <w:rsid w:val="004B19DD"/>
    <w:rsid w:val="004B3889"/>
    <w:rsid w:val="004B3E0D"/>
    <w:rsid w:val="004B3F04"/>
    <w:rsid w:val="004B441B"/>
    <w:rsid w:val="004B4571"/>
    <w:rsid w:val="004B51F9"/>
    <w:rsid w:val="004B564F"/>
    <w:rsid w:val="004B6A7C"/>
    <w:rsid w:val="004B7ECE"/>
    <w:rsid w:val="004C04EA"/>
    <w:rsid w:val="004C0763"/>
    <w:rsid w:val="004C0A56"/>
    <w:rsid w:val="004C0AC1"/>
    <w:rsid w:val="004C10E7"/>
    <w:rsid w:val="004C23FB"/>
    <w:rsid w:val="004C3997"/>
    <w:rsid w:val="004C423D"/>
    <w:rsid w:val="004C4C1F"/>
    <w:rsid w:val="004C50BF"/>
    <w:rsid w:val="004C53CB"/>
    <w:rsid w:val="004C593C"/>
    <w:rsid w:val="004C629B"/>
    <w:rsid w:val="004C693B"/>
    <w:rsid w:val="004C751A"/>
    <w:rsid w:val="004C7E8B"/>
    <w:rsid w:val="004D0B15"/>
    <w:rsid w:val="004D0EBA"/>
    <w:rsid w:val="004D114D"/>
    <w:rsid w:val="004D14D3"/>
    <w:rsid w:val="004D18AC"/>
    <w:rsid w:val="004D23AD"/>
    <w:rsid w:val="004D3E58"/>
    <w:rsid w:val="004D4156"/>
    <w:rsid w:val="004D4333"/>
    <w:rsid w:val="004D6531"/>
    <w:rsid w:val="004E011D"/>
    <w:rsid w:val="004E0D15"/>
    <w:rsid w:val="004E1AC6"/>
    <w:rsid w:val="004E2434"/>
    <w:rsid w:val="004E26E2"/>
    <w:rsid w:val="004E3070"/>
    <w:rsid w:val="004E32FB"/>
    <w:rsid w:val="004E4B5B"/>
    <w:rsid w:val="004E5779"/>
    <w:rsid w:val="004E5E51"/>
    <w:rsid w:val="004E668A"/>
    <w:rsid w:val="004E7E07"/>
    <w:rsid w:val="004F32E1"/>
    <w:rsid w:val="004F34F2"/>
    <w:rsid w:val="004F3D9B"/>
    <w:rsid w:val="004F4632"/>
    <w:rsid w:val="004F46CE"/>
    <w:rsid w:val="004F46D6"/>
    <w:rsid w:val="004F5C1C"/>
    <w:rsid w:val="004F62FF"/>
    <w:rsid w:val="004F69E2"/>
    <w:rsid w:val="004F6CFB"/>
    <w:rsid w:val="004F6EA8"/>
    <w:rsid w:val="004F70A7"/>
    <w:rsid w:val="005019FE"/>
    <w:rsid w:val="00502C28"/>
    <w:rsid w:val="00503D06"/>
    <w:rsid w:val="00504229"/>
    <w:rsid w:val="00504370"/>
    <w:rsid w:val="00505434"/>
    <w:rsid w:val="005063FD"/>
    <w:rsid w:val="005069C2"/>
    <w:rsid w:val="00507747"/>
    <w:rsid w:val="00510452"/>
    <w:rsid w:val="00510AD7"/>
    <w:rsid w:val="00510EB1"/>
    <w:rsid w:val="0051164C"/>
    <w:rsid w:val="00512176"/>
    <w:rsid w:val="005122E9"/>
    <w:rsid w:val="005137DB"/>
    <w:rsid w:val="005142AC"/>
    <w:rsid w:val="0051437A"/>
    <w:rsid w:val="0051449F"/>
    <w:rsid w:val="0051508B"/>
    <w:rsid w:val="0051570C"/>
    <w:rsid w:val="00515A05"/>
    <w:rsid w:val="00515ECA"/>
    <w:rsid w:val="00516007"/>
    <w:rsid w:val="00517111"/>
    <w:rsid w:val="005203B7"/>
    <w:rsid w:val="005208BD"/>
    <w:rsid w:val="0052161C"/>
    <w:rsid w:val="00521FF6"/>
    <w:rsid w:val="0052347F"/>
    <w:rsid w:val="00527260"/>
    <w:rsid w:val="00527681"/>
    <w:rsid w:val="0052771A"/>
    <w:rsid w:val="00527FC5"/>
    <w:rsid w:val="00530245"/>
    <w:rsid w:val="00530967"/>
    <w:rsid w:val="00530DE6"/>
    <w:rsid w:val="00531FAE"/>
    <w:rsid w:val="005343BA"/>
    <w:rsid w:val="0053589B"/>
    <w:rsid w:val="00535CDB"/>
    <w:rsid w:val="00535E49"/>
    <w:rsid w:val="0053659F"/>
    <w:rsid w:val="00537D18"/>
    <w:rsid w:val="00537D95"/>
    <w:rsid w:val="005417AF"/>
    <w:rsid w:val="00543780"/>
    <w:rsid w:val="005442D1"/>
    <w:rsid w:val="005450EB"/>
    <w:rsid w:val="0054574A"/>
    <w:rsid w:val="00545AC2"/>
    <w:rsid w:val="00546646"/>
    <w:rsid w:val="0054665C"/>
    <w:rsid w:val="00547A43"/>
    <w:rsid w:val="00550C47"/>
    <w:rsid w:val="00552694"/>
    <w:rsid w:val="00552D45"/>
    <w:rsid w:val="0055337B"/>
    <w:rsid w:val="0055377C"/>
    <w:rsid w:val="00553860"/>
    <w:rsid w:val="005541F4"/>
    <w:rsid w:val="00554717"/>
    <w:rsid w:val="00555261"/>
    <w:rsid w:val="00556DE6"/>
    <w:rsid w:val="005574AF"/>
    <w:rsid w:val="0055785D"/>
    <w:rsid w:val="005578C6"/>
    <w:rsid w:val="00557A53"/>
    <w:rsid w:val="0056090E"/>
    <w:rsid w:val="005613B3"/>
    <w:rsid w:val="00561ED7"/>
    <w:rsid w:val="00562166"/>
    <w:rsid w:val="00562995"/>
    <w:rsid w:val="00563855"/>
    <w:rsid w:val="005642DD"/>
    <w:rsid w:val="00564453"/>
    <w:rsid w:val="00566025"/>
    <w:rsid w:val="0056611F"/>
    <w:rsid w:val="005666D7"/>
    <w:rsid w:val="005676A0"/>
    <w:rsid w:val="00567ADA"/>
    <w:rsid w:val="005718D7"/>
    <w:rsid w:val="00571AFD"/>
    <w:rsid w:val="00571BEE"/>
    <w:rsid w:val="00571C08"/>
    <w:rsid w:val="00571C69"/>
    <w:rsid w:val="00572232"/>
    <w:rsid w:val="005722E9"/>
    <w:rsid w:val="00572D52"/>
    <w:rsid w:val="00573F62"/>
    <w:rsid w:val="00574588"/>
    <w:rsid w:val="00574619"/>
    <w:rsid w:val="005746F6"/>
    <w:rsid w:val="00575D36"/>
    <w:rsid w:val="005761EE"/>
    <w:rsid w:val="00576C13"/>
    <w:rsid w:val="00576CB6"/>
    <w:rsid w:val="00576CF4"/>
    <w:rsid w:val="00577164"/>
    <w:rsid w:val="00577D9F"/>
    <w:rsid w:val="00580391"/>
    <w:rsid w:val="0058086E"/>
    <w:rsid w:val="005818DE"/>
    <w:rsid w:val="00581AC8"/>
    <w:rsid w:val="00581CC1"/>
    <w:rsid w:val="00584718"/>
    <w:rsid w:val="00584D4C"/>
    <w:rsid w:val="005861DC"/>
    <w:rsid w:val="0058622F"/>
    <w:rsid w:val="00586418"/>
    <w:rsid w:val="00587350"/>
    <w:rsid w:val="005874B8"/>
    <w:rsid w:val="00587BA9"/>
    <w:rsid w:val="0059007C"/>
    <w:rsid w:val="00590699"/>
    <w:rsid w:val="00591A31"/>
    <w:rsid w:val="00591E29"/>
    <w:rsid w:val="00592318"/>
    <w:rsid w:val="00594C44"/>
    <w:rsid w:val="0059556C"/>
    <w:rsid w:val="00596B76"/>
    <w:rsid w:val="00597DD9"/>
    <w:rsid w:val="005A0ACF"/>
    <w:rsid w:val="005A0C34"/>
    <w:rsid w:val="005A2501"/>
    <w:rsid w:val="005A292F"/>
    <w:rsid w:val="005A2FF8"/>
    <w:rsid w:val="005A34B6"/>
    <w:rsid w:val="005A3E34"/>
    <w:rsid w:val="005A44FF"/>
    <w:rsid w:val="005A4BD9"/>
    <w:rsid w:val="005A4D8E"/>
    <w:rsid w:val="005A51C6"/>
    <w:rsid w:val="005A576D"/>
    <w:rsid w:val="005A5BAB"/>
    <w:rsid w:val="005A5CB3"/>
    <w:rsid w:val="005A6604"/>
    <w:rsid w:val="005A78DE"/>
    <w:rsid w:val="005A7E09"/>
    <w:rsid w:val="005B08A6"/>
    <w:rsid w:val="005B0F22"/>
    <w:rsid w:val="005B0F27"/>
    <w:rsid w:val="005B1A31"/>
    <w:rsid w:val="005B2B4F"/>
    <w:rsid w:val="005B2CB5"/>
    <w:rsid w:val="005B3439"/>
    <w:rsid w:val="005B4653"/>
    <w:rsid w:val="005B4E45"/>
    <w:rsid w:val="005B4E85"/>
    <w:rsid w:val="005B5E17"/>
    <w:rsid w:val="005B6419"/>
    <w:rsid w:val="005B6CC1"/>
    <w:rsid w:val="005C1943"/>
    <w:rsid w:val="005C22C2"/>
    <w:rsid w:val="005C2322"/>
    <w:rsid w:val="005C501A"/>
    <w:rsid w:val="005C5673"/>
    <w:rsid w:val="005C6D52"/>
    <w:rsid w:val="005C6F67"/>
    <w:rsid w:val="005C7858"/>
    <w:rsid w:val="005C7A9A"/>
    <w:rsid w:val="005C7FCE"/>
    <w:rsid w:val="005D05FD"/>
    <w:rsid w:val="005D11A5"/>
    <w:rsid w:val="005D1A7D"/>
    <w:rsid w:val="005D3508"/>
    <w:rsid w:val="005D48E0"/>
    <w:rsid w:val="005D4BC8"/>
    <w:rsid w:val="005D55D6"/>
    <w:rsid w:val="005D593D"/>
    <w:rsid w:val="005D65FF"/>
    <w:rsid w:val="005D6E43"/>
    <w:rsid w:val="005D717B"/>
    <w:rsid w:val="005D769A"/>
    <w:rsid w:val="005D7FC2"/>
    <w:rsid w:val="005E092E"/>
    <w:rsid w:val="005E1DD8"/>
    <w:rsid w:val="005E1EA0"/>
    <w:rsid w:val="005E1F6F"/>
    <w:rsid w:val="005E4132"/>
    <w:rsid w:val="005E58E1"/>
    <w:rsid w:val="005E5F8B"/>
    <w:rsid w:val="005F0EC7"/>
    <w:rsid w:val="005F105B"/>
    <w:rsid w:val="005F1295"/>
    <w:rsid w:val="005F2075"/>
    <w:rsid w:val="005F2341"/>
    <w:rsid w:val="005F2B48"/>
    <w:rsid w:val="005F3ADE"/>
    <w:rsid w:val="005F432C"/>
    <w:rsid w:val="005F4B41"/>
    <w:rsid w:val="005F4F2A"/>
    <w:rsid w:val="005F5099"/>
    <w:rsid w:val="005F73A6"/>
    <w:rsid w:val="006002FC"/>
    <w:rsid w:val="00600D9B"/>
    <w:rsid w:val="0060128D"/>
    <w:rsid w:val="006015EB"/>
    <w:rsid w:val="006021B4"/>
    <w:rsid w:val="00602BDA"/>
    <w:rsid w:val="0060305B"/>
    <w:rsid w:val="0060308F"/>
    <w:rsid w:val="0060552B"/>
    <w:rsid w:val="00606E04"/>
    <w:rsid w:val="00607B8A"/>
    <w:rsid w:val="00611A97"/>
    <w:rsid w:val="00611B3C"/>
    <w:rsid w:val="00611C5C"/>
    <w:rsid w:val="00612686"/>
    <w:rsid w:val="006131E9"/>
    <w:rsid w:val="0061392C"/>
    <w:rsid w:val="00613C92"/>
    <w:rsid w:val="00615685"/>
    <w:rsid w:val="00616069"/>
    <w:rsid w:val="00616FDD"/>
    <w:rsid w:val="00617E42"/>
    <w:rsid w:val="00617E6C"/>
    <w:rsid w:val="006203EC"/>
    <w:rsid w:val="00622015"/>
    <w:rsid w:val="00622191"/>
    <w:rsid w:val="00622D62"/>
    <w:rsid w:val="00622D80"/>
    <w:rsid w:val="0062336F"/>
    <w:rsid w:val="00623D41"/>
    <w:rsid w:val="00624A28"/>
    <w:rsid w:val="00624E5B"/>
    <w:rsid w:val="006264F1"/>
    <w:rsid w:val="00626A29"/>
    <w:rsid w:val="00626AF4"/>
    <w:rsid w:val="00626CB1"/>
    <w:rsid w:val="00626CBB"/>
    <w:rsid w:val="00627894"/>
    <w:rsid w:val="00627FF6"/>
    <w:rsid w:val="00630506"/>
    <w:rsid w:val="00630BC9"/>
    <w:rsid w:val="00631033"/>
    <w:rsid w:val="0063314F"/>
    <w:rsid w:val="0063422F"/>
    <w:rsid w:val="006354FF"/>
    <w:rsid w:val="00635832"/>
    <w:rsid w:val="00635AB6"/>
    <w:rsid w:val="006361B1"/>
    <w:rsid w:val="006365E9"/>
    <w:rsid w:val="00636E18"/>
    <w:rsid w:val="00637228"/>
    <w:rsid w:val="00641532"/>
    <w:rsid w:val="00641E0B"/>
    <w:rsid w:val="0064225E"/>
    <w:rsid w:val="0064298D"/>
    <w:rsid w:val="0064364F"/>
    <w:rsid w:val="006445A3"/>
    <w:rsid w:val="00645115"/>
    <w:rsid w:val="006462F1"/>
    <w:rsid w:val="006464CF"/>
    <w:rsid w:val="00647A7A"/>
    <w:rsid w:val="00650724"/>
    <w:rsid w:val="0065124E"/>
    <w:rsid w:val="006513A0"/>
    <w:rsid w:val="00652C4F"/>
    <w:rsid w:val="0065308E"/>
    <w:rsid w:val="006534DC"/>
    <w:rsid w:val="006541D1"/>
    <w:rsid w:val="00654860"/>
    <w:rsid w:val="00654F37"/>
    <w:rsid w:val="00655662"/>
    <w:rsid w:val="00656ABE"/>
    <w:rsid w:val="00657521"/>
    <w:rsid w:val="0066000B"/>
    <w:rsid w:val="0066030A"/>
    <w:rsid w:val="00660931"/>
    <w:rsid w:val="00661C43"/>
    <w:rsid w:val="00662C23"/>
    <w:rsid w:val="00663A53"/>
    <w:rsid w:val="0066473E"/>
    <w:rsid w:val="00664F66"/>
    <w:rsid w:val="00665069"/>
    <w:rsid w:val="0066537B"/>
    <w:rsid w:val="00665718"/>
    <w:rsid w:val="00665E8C"/>
    <w:rsid w:val="0066692E"/>
    <w:rsid w:val="00666CC6"/>
    <w:rsid w:val="006677D7"/>
    <w:rsid w:val="00667828"/>
    <w:rsid w:val="00670CDD"/>
    <w:rsid w:val="00670F37"/>
    <w:rsid w:val="00676079"/>
    <w:rsid w:val="00676326"/>
    <w:rsid w:val="006777C7"/>
    <w:rsid w:val="006839E8"/>
    <w:rsid w:val="00683D65"/>
    <w:rsid w:val="00684AB4"/>
    <w:rsid w:val="00684FDE"/>
    <w:rsid w:val="00685F12"/>
    <w:rsid w:val="00687672"/>
    <w:rsid w:val="00690FB6"/>
    <w:rsid w:val="00691287"/>
    <w:rsid w:val="006919FC"/>
    <w:rsid w:val="00693034"/>
    <w:rsid w:val="0069373F"/>
    <w:rsid w:val="00693FDC"/>
    <w:rsid w:val="006963D2"/>
    <w:rsid w:val="00697FEB"/>
    <w:rsid w:val="006A02C9"/>
    <w:rsid w:val="006A0B4A"/>
    <w:rsid w:val="006A0D71"/>
    <w:rsid w:val="006A0E7E"/>
    <w:rsid w:val="006A0F4A"/>
    <w:rsid w:val="006A1D16"/>
    <w:rsid w:val="006A1EA8"/>
    <w:rsid w:val="006A4300"/>
    <w:rsid w:val="006A4428"/>
    <w:rsid w:val="006A7BEA"/>
    <w:rsid w:val="006A7D62"/>
    <w:rsid w:val="006B120F"/>
    <w:rsid w:val="006B1FE2"/>
    <w:rsid w:val="006B2EBD"/>
    <w:rsid w:val="006B2F86"/>
    <w:rsid w:val="006B3690"/>
    <w:rsid w:val="006B37A6"/>
    <w:rsid w:val="006B3C0D"/>
    <w:rsid w:val="006C0355"/>
    <w:rsid w:val="006C090C"/>
    <w:rsid w:val="006C13D5"/>
    <w:rsid w:val="006C3A40"/>
    <w:rsid w:val="006C3F79"/>
    <w:rsid w:val="006C4E8E"/>
    <w:rsid w:val="006C53A0"/>
    <w:rsid w:val="006C5E9B"/>
    <w:rsid w:val="006C6628"/>
    <w:rsid w:val="006C6D77"/>
    <w:rsid w:val="006C7240"/>
    <w:rsid w:val="006C74D6"/>
    <w:rsid w:val="006C7663"/>
    <w:rsid w:val="006D0EE8"/>
    <w:rsid w:val="006D12C7"/>
    <w:rsid w:val="006D175B"/>
    <w:rsid w:val="006D1BF7"/>
    <w:rsid w:val="006D23EF"/>
    <w:rsid w:val="006D457D"/>
    <w:rsid w:val="006D59F8"/>
    <w:rsid w:val="006D61DA"/>
    <w:rsid w:val="006D6AF7"/>
    <w:rsid w:val="006D6EBB"/>
    <w:rsid w:val="006D781E"/>
    <w:rsid w:val="006D7F80"/>
    <w:rsid w:val="006D7FC7"/>
    <w:rsid w:val="006E00DA"/>
    <w:rsid w:val="006E04F7"/>
    <w:rsid w:val="006E0941"/>
    <w:rsid w:val="006E0B68"/>
    <w:rsid w:val="006E0EAD"/>
    <w:rsid w:val="006E1DC5"/>
    <w:rsid w:val="006E2E7E"/>
    <w:rsid w:val="006E2EFD"/>
    <w:rsid w:val="006E3420"/>
    <w:rsid w:val="006E39D7"/>
    <w:rsid w:val="006E3BD0"/>
    <w:rsid w:val="006E3FA9"/>
    <w:rsid w:val="006E4444"/>
    <w:rsid w:val="006E4D14"/>
    <w:rsid w:val="006E6866"/>
    <w:rsid w:val="006E702B"/>
    <w:rsid w:val="006E7DC6"/>
    <w:rsid w:val="006F01FC"/>
    <w:rsid w:val="006F0349"/>
    <w:rsid w:val="006F08E1"/>
    <w:rsid w:val="006F0E10"/>
    <w:rsid w:val="006F13D2"/>
    <w:rsid w:val="006F1A53"/>
    <w:rsid w:val="006F2196"/>
    <w:rsid w:val="006F2B29"/>
    <w:rsid w:val="006F3620"/>
    <w:rsid w:val="006F3D73"/>
    <w:rsid w:val="006F5A87"/>
    <w:rsid w:val="006F74BF"/>
    <w:rsid w:val="006F7BDA"/>
    <w:rsid w:val="00700C93"/>
    <w:rsid w:val="00701FC8"/>
    <w:rsid w:val="0070288A"/>
    <w:rsid w:val="00702D07"/>
    <w:rsid w:val="00703676"/>
    <w:rsid w:val="00706655"/>
    <w:rsid w:val="007078D6"/>
    <w:rsid w:val="007106DD"/>
    <w:rsid w:val="00710F87"/>
    <w:rsid w:val="007116F8"/>
    <w:rsid w:val="00712900"/>
    <w:rsid w:val="007133E9"/>
    <w:rsid w:val="007137B3"/>
    <w:rsid w:val="00713BD4"/>
    <w:rsid w:val="00714542"/>
    <w:rsid w:val="00714837"/>
    <w:rsid w:val="00714EF0"/>
    <w:rsid w:val="00714F04"/>
    <w:rsid w:val="00715087"/>
    <w:rsid w:val="00715712"/>
    <w:rsid w:val="007158C7"/>
    <w:rsid w:val="00715D0C"/>
    <w:rsid w:val="0071628B"/>
    <w:rsid w:val="00716F27"/>
    <w:rsid w:val="00717727"/>
    <w:rsid w:val="00717B00"/>
    <w:rsid w:val="00720DE3"/>
    <w:rsid w:val="00721C6A"/>
    <w:rsid w:val="007227EC"/>
    <w:rsid w:val="00722F2C"/>
    <w:rsid w:val="00723293"/>
    <w:rsid w:val="00723439"/>
    <w:rsid w:val="00723CB3"/>
    <w:rsid w:val="00724D46"/>
    <w:rsid w:val="00725109"/>
    <w:rsid w:val="007252D4"/>
    <w:rsid w:val="00727012"/>
    <w:rsid w:val="0072723A"/>
    <w:rsid w:val="00727D29"/>
    <w:rsid w:val="00730E2D"/>
    <w:rsid w:val="0073142D"/>
    <w:rsid w:val="007323B9"/>
    <w:rsid w:val="007330A4"/>
    <w:rsid w:val="00733C05"/>
    <w:rsid w:val="00734568"/>
    <w:rsid w:val="0073460E"/>
    <w:rsid w:val="007349F9"/>
    <w:rsid w:val="00734A12"/>
    <w:rsid w:val="00735CDE"/>
    <w:rsid w:val="00736EAE"/>
    <w:rsid w:val="00737F9B"/>
    <w:rsid w:val="007402C2"/>
    <w:rsid w:val="0074044C"/>
    <w:rsid w:val="007405B1"/>
    <w:rsid w:val="007419ED"/>
    <w:rsid w:val="00742174"/>
    <w:rsid w:val="00742C4C"/>
    <w:rsid w:val="007431F0"/>
    <w:rsid w:val="00743577"/>
    <w:rsid w:val="007435D3"/>
    <w:rsid w:val="00744220"/>
    <w:rsid w:val="00744C66"/>
    <w:rsid w:val="007464CC"/>
    <w:rsid w:val="00747238"/>
    <w:rsid w:val="00747B4B"/>
    <w:rsid w:val="00747D5E"/>
    <w:rsid w:val="00750679"/>
    <w:rsid w:val="00751EDA"/>
    <w:rsid w:val="00754851"/>
    <w:rsid w:val="007575D0"/>
    <w:rsid w:val="00757649"/>
    <w:rsid w:val="007609D5"/>
    <w:rsid w:val="00760C75"/>
    <w:rsid w:val="007611AD"/>
    <w:rsid w:val="0076126B"/>
    <w:rsid w:val="007613B3"/>
    <w:rsid w:val="00762FBA"/>
    <w:rsid w:val="00763FB6"/>
    <w:rsid w:val="0076473F"/>
    <w:rsid w:val="00764748"/>
    <w:rsid w:val="00765515"/>
    <w:rsid w:val="00766F28"/>
    <w:rsid w:val="007713E8"/>
    <w:rsid w:val="00771967"/>
    <w:rsid w:val="00771AA1"/>
    <w:rsid w:val="00772FC8"/>
    <w:rsid w:val="0077322C"/>
    <w:rsid w:val="00774715"/>
    <w:rsid w:val="007747EE"/>
    <w:rsid w:val="00774999"/>
    <w:rsid w:val="00774F98"/>
    <w:rsid w:val="00776623"/>
    <w:rsid w:val="007768F5"/>
    <w:rsid w:val="0077735A"/>
    <w:rsid w:val="0078095B"/>
    <w:rsid w:val="00780D10"/>
    <w:rsid w:val="007813D1"/>
    <w:rsid w:val="00782158"/>
    <w:rsid w:val="007821BC"/>
    <w:rsid w:val="007826E0"/>
    <w:rsid w:val="0078271A"/>
    <w:rsid w:val="00783194"/>
    <w:rsid w:val="00783455"/>
    <w:rsid w:val="007835D5"/>
    <w:rsid w:val="0078383A"/>
    <w:rsid w:val="00783BA7"/>
    <w:rsid w:val="007853F8"/>
    <w:rsid w:val="0078687A"/>
    <w:rsid w:val="00786AA2"/>
    <w:rsid w:val="00786BB9"/>
    <w:rsid w:val="00786FE5"/>
    <w:rsid w:val="007870B3"/>
    <w:rsid w:val="00787297"/>
    <w:rsid w:val="007877DC"/>
    <w:rsid w:val="0079039B"/>
    <w:rsid w:val="007908E2"/>
    <w:rsid w:val="00793842"/>
    <w:rsid w:val="007953B5"/>
    <w:rsid w:val="00795F3C"/>
    <w:rsid w:val="00796271"/>
    <w:rsid w:val="00796431"/>
    <w:rsid w:val="007964DC"/>
    <w:rsid w:val="00797D07"/>
    <w:rsid w:val="00797EC1"/>
    <w:rsid w:val="007A03B9"/>
    <w:rsid w:val="007A06C5"/>
    <w:rsid w:val="007A0B4E"/>
    <w:rsid w:val="007A117C"/>
    <w:rsid w:val="007A2635"/>
    <w:rsid w:val="007A3BFB"/>
    <w:rsid w:val="007A69A5"/>
    <w:rsid w:val="007A6B52"/>
    <w:rsid w:val="007A6C81"/>
    <w:rsid w:val="007A7B10"/>
    <w:rsid w:val="007B02A8"/>
    <w:rsid w:val="007B0B30"/>
    <w:rsid w:val="007B129D"/>
    <w:rsid w:val="007B219A"/>
    <w:rsid w:val="007B31A6"/>
    <w:rsid w:val="007B4508"/>
    <w:rsid w:val="007B5E3D"/>
    <w:rsid w:val="007B6B28"/>
    <w:rsid w:val="007B79F6"/>
    <w:rsid w:val="007B7B44"/>
    <w:rsid w:val="007C1271"/>
    <w:rsid w:val="007C12F0"/>
    <w:rsid w:val="007C15B2"/>
    <w:rsid w:val="007C4747"/>
    <w:rsid w:val="007C4C83"/>
    <w:rsid w:val="007C525A"/>
    <w:rsid w:val="007C533A"/>
    <w:rsid w:val="007C591A"/>
    <w:rsid w:val="007C6206"/>
    <w:rsid w:val="007C6225"/>
    <w:rsid w:val="007C64E2"/>
    <w:rsid w:val="007C7C72"/>
    <w:rsid w:val="007D065D"/>
    <w:rsid w:val="007D1196"/>
    <w:rsid w:val="007D1E88"/>
    <w:rsid w:val="007D275E"/>
    <w:rsid w:val="007D2928"/>
    <w:rsid w:val="007D37BA"/>
    <w:rsid w:val="007D3850"/>
    <w:rsid w:val="007D3F75"/>
    <w:rsid w:val="007D4025"/>
    <w:rsid w:val="007D66F0"/>
    <w:rsid w:val="007D73E5"/>
    <w:rsid w:val="007D750A"/>
    <w:rsid w:val="007D7523"/>
    <w:rsid w:val="007E0084"/>
    <w:rsid w:val="007E0678"/>
    <w:rsid w:val="007E0A18"/>
    <w:rsid w:val="007E0EF4"/>
    <w:rsid w:val="007E1035"/>
    <w:rsid w:val="007E18D1"/>
    <w:rsid w:val="007E199C"/>
    <w:rsid w:val="007E2A76"/>
    <w:rsid w:val="007E4D07"/>
    <w:rsid w:val="007E581F"/>
    <w:rsid w:val="007E722A"/>
    <w:rsid w:val="007E72EF"/>
    <w:rsid w:val="007E770A"/>
    <w:rsid w:val="007E7968"/>
    <w:rsid w:val="007E7C0D"/>
    <w:rsid w:val="007F0CB0"/>
    <w:rsid w:val="007F1600"/>
    <w:rsid w:val="007F166D"/>
    <w:rsid w:val="007F1EDF"/>
    <w:rsid w:val="007F2054"/>
    <w:rsid w:val="007F299B"/>
    <w:rsid w:val="007F365B"/>
    <w:rsid w:val="007F3B50"/>
    <w:rsid w:val="007F4023"/>
    <w:rsid w:val="007F40D6"/>
    <w:rsid w:val="007F41A0"/>
    <w:rsid w:val="007F5346"/>
    <w:rsid w:val="007F690B"/>
    <w:rsid w:val="007F742B"/>
    <w:rsid w:val="007F7CBC"/>
    <w:rsid w:val="00800C45"/>
    <w:rsid w:val="0080130F"/>
    <w:rsid w:val="008026FE"/>
    <w:rsid w:val="00802F9F"/>
    <w:rsid w:val="0080372E"/>
    <w:rsid w:val="00803E55"/>
    <w:rsid w:val="00804358"/>
    <w:rsid w:val="00804F92"/>
    <w:rsid w:val="00807F85"/>
    <w:rsid w:val="0081060D"/>
    <w:rsid w:val="00810A52"/>
    <w:rsid w:val="00810DCF"/>
    <w:rsid w:val="008110C4"/>
    <w:rsid w:val="00811527"/>
    <w:rsid w:val="00811F2C"/>
    <w:rsid w:val="00811FE2"/>
    <w:rsid w:val="008134F5"/>
    <w:rsid w:val="00814399"/>
    <w:rsid w:val="00815A51"/>
    <w:rsid w:val="008208F2"/>
    <w:rsid w:val="00820A66"/>
    <w:rsid w:val="00820F38"/>
    <w:rsid w:val="00822D27"/>
    <w:rsid w:val="008242DA"/>
    <w:rsid w:val="00824A84"/>
    <w:rsid w:val="00826371"/>
    <w:rsid w:val="0082668B"/>
    <w:rsid w:val="0082687A"/>
    <w:rsid w:val="008272AC"/>
    <w:rsid w:val="00830214"/>
    <w:rsid w:val="00830902"/>
    <w:rsid w:val="00832118"/>
    <w:rsid w:val="00832C2F"/>
    <w:rsid w:val="00833EC7"/>
    <w:rsid w:val="00834366"/>
    <w:rsid w:val="008358AE"/>
    <w:rsid w:val="008363D1"/>
    <w:rsid w:val="00836C3B"/>
    <w:rsid w:val="00840749"/>
    <w:rsid w:val="00840F7C"/>
    <w:rsid w:val="008412E1"/>
    <w:rsid w:val="008413A8"/>
    <w:rsid w:val="00842443"/>
    <w:rsid w:val="00843285"/>
    <w:rsid w:val="00843286"/>
    <w:rsid w:val="00843386"/>
    <w:rsid w:val="00844479"/>
    <w:rsid w:val="00844C79"/>
    <w:rsid w:val="00846122"/>
    <w:rsid w:val="008466C4"/>
    <w:rsid w:val="00850FDB"/>
    <w:rsid w:val="008510D6"/>
    <w:rsid w:val="008522B5"/>
    <w:rsid w:val="00853C4A"/>
    <w:rsid w:val="00854190"/>
    <w:rsid w:val="00854682"/>
    <w:rsid w:val="00856359"/>
    <w:rsid w:val="00856DA4"/>
    <w:rsid w:val="00857078"/>
    <w:rsid w:val="00857A3C"/>
    <w:rsid w:val="00860613"/>
    <w:rsid w:val="00861279"/>
    <w:rsid w:val="008612B4"/>
    <w:rsid w:val="00862A90"/>
    <w:rsid w:val="00863D31"/>
    <w:rsid w:val="0086454A"/>
    <w:rsid w:val="00866E95"/>
    <w:rsid w:val="00870102"/>
    <w:rsid w:val="00870456"/>
    <w:rsid w:val="008721A5"/>
    <w:rsid w:val="008723A8"/>
    <w:rsid w:val="00872847"/>
    <w:rsid w:val="00872C9B"/>
    <w:rsid w:val="00872E78"/>
    <w:rsid w:val="00872FDB"/>
    <w:rsid w:val="00873451"/>
    <w:rsid w:val="00873471"/>
    <w:rsid w:val="00873C14"/>
    <w:rsid w:val="0087619E"/>
    <w:rsid w:val="00877706"/>
    <w:rsid w:val="00877F7D"/>
    <w:rsid w:val="008811FC"/>
    <w:rsid w:val="00881D54"/>
    <w:rsid w:val="008825CE"/>
    <w:rsid w:val="0088460D"/>
    <w:rsid w:val="008857AA"/>
    <w:rsid w:val="00885FA2"/>
    <w:rsid w:val="0088688E"/>
    <w:rsid w:val="00887608"/>
    <w:rsid w:val="00887ABB"/>
    <w:rsid w:val="00887FD1"/>
    <w:rsid w:val="008900AF"/>
    <w:rsid w:val="008906E6"/>
    <w:rsid w:val="00890AD0"/>
    <w:rsid w:val="00890B66"/>
    <w:rsid w:val="00891109"/>
    <w:rsid w:val="00891BA0"/>
    <w:rsid w:val="00891BF0"/>
    <w:rsid w:val="00891F38"/>
    <w:rsid w:val="00893E72"/>
    <w:rsid w:val="00896BC2"/>
    <w:rsid w:val="00896C06"/>
    <w:rsid w:val="008A072D"/>
    <w:rsid w:val="008A1815"/>
    <w:rsid w:val="008A1C42"/>
    <w:rsid w:val="008A2D63"/>
    <w:rsid w:val="008A3348"/>
    <w:rsid w:val="008A3889"/>
    <w:rsid w:val="008A4BAF"/>
    <w:rsid w:val="008A5370"/>
    <w:rsid w:val="008A5CE1"/>
    <w:rsid w:val="008A5EE6"/>
    <w:rsid w:val="008A6398"/>
    <w:rsid w:val="008B048B"/>
    <w:rsid w:val="008B08D3"/>
    <w:rsid w:val="008B19B7"/>
    <w:rsid w:val="008B19E5"/>
    <w:rsid w:val="008B1C16"/>
    <w:rsid w:val="008B2AC1"/>
    <w:rsid w:val="008B2D32"/>
    <w:rsid w:val="008B2E9A"/>
    <w:rsid w:val="008B2EB5"/>
    <w:rsid w:val="008B3ADE"/>
    <w:rsid w:val="008B44C3"/>
    <w:rsid w:val="008B5255"/>
    <w:rsid w:val="008B5613"/>
    <w:rsid w:val="008B62E9"/>
    <w:rsid w:val="008B7050"/>
    <w:rsid w:val="008B7162"/>
    <w:rsid w:val="008C1507"/>
    <w:rsid w:val="008C19A3"/>
    <w:rsid w:val="008C2501"/>
    <w:rsid w:val="008C383B"/>
    <w:rsid w:val="008C3A5F"/>
    <w:rsid w:val="008C44A7"/>
    <w:rsid w:val="008C5671"/>
    <w:rsid w:val="008C59BA"/>
    <w:rsid w:val="008C5D4D"/>
    <w:rsid w:val="008C6671"/>
    <w:rsid w:val="008C739D"/>
    <w:rsid w:val="008C7707"/>
    <w:rsid w:val="008D1695"/>
    <w:rsid w:val="008D3273"/>
    <w:rsid w:val="008D3CA0"/>
    <w:rsid w:val="008D4696"/>
    <w:rsid w:val="008D6805"/>
    <w:rsid w:val="008D6CA8"/>
    <w:rsid w:val="008D733D"/>
    <w:rsid w:val="008E0A95"/>
    <w:rsid w:val="008E136A"/>
    <w:rsid w:val="008E14A5"/>
    <w:rsid w:val="008E2336"/>
    <w:rsid w:val="008E27A7"/>
    <w:rsid w:val="008E33F9"/>
    <w:rsid w:val="008E34A2"/>
    <w:rsid w:val="008E34AE"/>
    <w:rsid w:val="008E4D1F"/>
    <w:rsid w:val="008E694D"/>
    <w:rsid w:val="008E78B4"/>
    <w:rsid w:val="008F047E"/>
    <w:rsid w:val="008F2841"/>
    <w:rsid w:val="008F2959"/>
    <w:rsid w:val="008F399F"/>
    <w:rsid w:val="008F39F1"/>
    <w:rsid w:val="008F432C"/>
    <w:rsid w:val="008F7ADB"/>
    <w:rsid w:val="009001B0"/>
    <w:rsid w:val="00900940"/>
    <w:rsid w:val="0090288E"/>
    <w:rsid w:val="009038F9"/>
    <w:rsid w:val="00905028"/>
    <w:rsid w:val="009055D6"/>
    <w:rsid w:val="00905AAB"/>
    <w:rsid w:val="009068C3"/>
    <w:rsid w:val="00906F53"/>
    <w:rsid w:val="0090775D"/>
    <w:rsid w:val="00910432"/>
    <w:rsid w:val="0091050C"/>
    <w:rsid w:val="00911865"/>
    <w:rsid w:val="00911A8D"/>
    <w:rsid w:val="009139AF"/>
    <w:rsid w:val="009148EC"/>
    <w:rsid w:val="00914BFD"/>
    <w:rsid w:val="00914CD2"/>
    <w:rsid w:val="00915EF9"/>
    <w:rsid w:val="009174F6"/>
    <w:rsid w:val="00917A99"/>
    <w:rsid w:val="00921BFB"/>
    <w:rsid w:val="00921EF9"/>
    <w:rsid w:val="00922AFA"/>
    <w:rsid w:val="00922BF2"/>
    <w:rsid w:val="009234FD"/>
    <w:rsid w:val="00923665"/>
    <w:rsid w:val="00924258"/>
    <w:rsid w:val="00924973"/>
    <w:rsid w:val="00924ED5"/>
    <w:rsid w:val="0092631A"/>
    <w:rsid w:val="009311DF"/>
    <w:rsid w:val="009314B6"/>
    <w:rsid w:val="0093152E"/>
    <w:rsid w:val="009315A3"/>
    <w:rsid w:val="00931779"/>
    <w:rsid w:val="00931E42"/>
    <w:rsid w:val="0093252C"/>
    <w:rsid w:val="0093283A"/>
    <w:rsid w:val="0093430F"/>
    <w:rsid w:val="00935AC3"/>
    <w:rsid w:val="00935EAC"/>
    <w:rsid w:val="00937529"/>
    <w:rsid w:val="00940DF7"/>
    <w:rsid w:val="00940F2E"/>
    <w:rsid w:val="00942405"/>
    <w:rsid w:val="00942818"/>
    <w:rsid w:val="00942AD5"/>
    <w:rsid w:val="00942F66"/>
    <w:rsid w:val="00943510"/>
    <w:rsid w:val="00943A66"/>
    <w:rsid w:val="00944371"/>
    <w:rsid w:val="00944529"/>
    <w:rsid w:val="00944CB3"/>
    <w:rsid w:val="00944D10"/>
    <w:rsid w:val="009450BA"/>
    <w:rsid w:val="009454B6"/>
    <w:rsid w:val="00946929"/>
    <w:rsid w:val="00946D29"/>
    <w:rsid w:val="009474F2"/>
    <w:rsid w:val="00950E7E"/>
    <w:rsid w:val="00952AEF"/>
    <w:rsid w:val="00955C33"/>
    <w:rsid w:val="0095625A"/>
    <w:rsid w:val="00956446"/>
    <w:rsid w:val="00957B4C"/>
    <w:rsid w:val="009603BF"/>
    <w:rsid w:val="00960F24"/>
    <w:rsid w:val="00960FAF"/>
    <w:rsid w:val="0096172B"/>
    <w:rsid w:val="00961C91"/>
    <w:rsid w:val="00962AB8"/>
    <w:rsid w:val="00962CB7"/>
    <w:rsid w:val="00962E64"/>
    <w:rsid w:val="00963AA3"/>
    <w:rsid w:val="00963B80"/>
    <w:rsid w:val="00966080"/>
    <w:rsid w:val="0096628F"/>
    <w:rsid w:val="009664DD"/>
    <w:rsid w:val="00966F48"/>
    <w:rsid w:val="0096744E"/>
    <w:rsid w:val="009704A0"/>
    <w:rsid w:val="00970792"/>
    <w:rsid w:val="00970EB5"/>
    <w:rsid w:val="00971E1A"/>
    <w:rsid w:val="00971EE1"/>
    <w:rsid w:val="00973197"/>
    <w:rsid w:val="00973E14"/>
    <w:rsid w:val="009753FB"/>
    <w:rsid w:val="00975439"/>
    <w:rsid w:val="009756E8"/>
    <w:rsid w:val="00976F97"/>
    <w:rsid w:val="00977317"/>
    <w:rsid w:val="009802E6"/>
    <w:rsid w:val="009804C2"/>
    <w:rsid w:val="00980C11"/>
    <w:rsid w:val="00981086"/>
    <w:rsid w:val="0098257D"/>
    <w:rsid w:val="0098302F"/>
    <w:rsid w:val="009831C8"/>
    <w:rsid w:val="00983D28"/>
    <w:rsid w:val="0098474E"/>
    <w:rsid w:val="009857EB"/>
    <w:rsid w:val="00986110"/>
    <w:rsid w:val="009869D5"/>
    <w:rsid w:val="00987232"/>
    <w:rsid w:val="009877E3"/>
    <w:rsid w:val="00990EC7"/>
    <w:rsid w:val="00991B95"/>
    <w:rsid w:val="00991D3E"/>
    <w:rsid w:val="00992840"/>
    <w:rsid w:val="00994C6F"/>
    <w:rsid w:val="00994CC4"/>
    <w:rsid w:val="00995379"/>
    <w:rsid w:val="009968AC"/>
    <w:rsid w:val="00996911"/>
    <w:rsid w:val="00996DB9"/>
    <w:rsid w:val="009976E7"/>
    <w:rsid w:val="009A044E"/>
    <w:rsid w:val="009A10AD"/>
    <w:rsid w:val="009A10DD"/>
    <w:rsid w:val="009A11ED"/>
    <w:rsid w:val="009A1795"/>
    <w:rsid w:val="009A1CB0"/>
    <w:rsid w:val="009A2547"/>
    <w:rsid w:val="009A4D66"/>
    <w:rsid w:val="009A5821"/>
    <w:rsid w:val="009A63A6"/>
    <w:rsid w:val="009A65F0"/>
    <w:rsid w:val="009A67A1"/>
    <w:rsid w:val="009A7026"/>
    <w:rsid w:val="009A702B"/>
    <w:rsid w:val="009A7D0C"/>
    <w:rsid w:val="009A7F30"/>
    <w:rsid w:val="009B069B"/>
    <w:rsid w:val="009B097A"/>
    <w:rsid w:val="009B10E0"/>
    <w:rsid w:val="009B18EB"/>
    <w:rsid w:val="009B27DF"/>
    <w:rsid w:val="009B36AF"/>
    <w:rsid w:val="009B393A"/>
    <w:rsid w:val="009B5A7A"/>
    <w:rsid w:val="009B7972"/>
    <w:rsid w:val="009B7A5A"/>
    <w:rsid w:val="009C0DD6"/>
    <w:rsid w:val="009C1B29"/>
    <w:rsid w:val="009C1C07"/>
    <w:rsid w:val="009C1F84"/>
    <w:rsid w:val="009C38DF"/>
    <w:rsid w:val="009C40F8"/>
    <w:rsid w:val="009C5A3E"/>
    <w:rsid w:val="009C6CC1"/>
    <w:rsid w:val="009D05F1"/>
    <w:rsid w:val="009D089E"/>
    <w:rsid w:val="009D094F"/>
    <w:rsid w:val="009D0BF3"/>
    <w:rsid w:val="009D0E88"/>
    <w:rsid w:val="009D1003"/>
    <w:rsid w:val="009D24D7"/>
    <w:rsid w:val="009D256E"/>
    <w:rsid w:val="009D2DB6"/>
    <w:rsid w:val="009D2EAF"/>
    <w:rsid w:val="009D2F47"/>
    <w:rsid w:val="009D2FB9"/>
    <w:rsid w:val="009D3067"/>
    <w:rsid w:val="009D39EE"/>
    <w:rsid w:val="009D3B45"/>
    <w:rsid w:val="009D4E78"/>
    <w:rsid w:val="009D5487"/>
    <w:rsid w:val="009D55B8"/>
    <w:rsid w:val="009D5F35"/>
    <w:rsid w:val="009D674E"/>
    <w:rsid w:val="009D6791"/>
    <w:rsid w:val="009D7835"/>
    <w:rsid w:val="009D7CDF"/>
    <w:rsid w:val="009D7EFC"/>
    <w:rsid w:val="009E05AC"/>
    <w:rsid w:val="009E1649"/>
    <w:rsid w:val="009E172B"/>
    <w:rsid w:val="009E1B55"/>
    <w:rsid w:val="009E204D"/>
    <w:rsid w:val="009E253A"/>
    <w:rsid w:val="009E25F5"/>
    <w:rsid w:val="009E39C0"/>
    <w:rsid w:val="009E4CE0"/>
    <w:rsid w:val="009E523E"/>
    <w:rsid w:val="009E5367"/>
    <w:rsid w:val="009E7B93"/>
    <w:rsid w:val="009F0062"/>
    <w:rsid w:val="009F0349"/>
    <w:rsid w:val="009F1E76"/>
    <w:rsid w:val="009F2FEB"/>
    <w:rsid w:val="009F3268"/>
    <w:rsid w:val="009F4230"/>
    <w:rsid w:val="009F4860"/>
    <w:rsid w:val="009F5F2C"/>
    <w:rsid w:val="009F6749"/>
    <w:rsid w:val="009F6A7F"/>
    <w:rsid w:val="009F6C56"/>
    <w:rsid w:val="00A0021A"/>
    <w:rsid w:val="00A0178C"/>
    <w:rsid w:val="00A01D67"/>
    <w:rsid w:val="00A02A33"/>
    <w:rsid w:val="00A02F5D"/>
    <w:rsid w:val="00A031CC"/>
    <w:rsid w:val="00A0323B"/>
    <w:rsid w:val="00A04192"/>
    <w:rsid w:val="00A04474"/>
    <w:rsid w:val="00A0482C"/>
    <w:rsid w:val="00A0762A"/>
    <w:rsid w:val="00A0776D"/>
    <w:rsid w:val="00A0778F"/>
    <w:rsid w:val="00A1004D"/>
    <w:rsid w:val="00A1182A"/>
    <w:rsid w:val="00A13922"/>
    <w:rsid w:val="00A13DB8"/>
    <w:rsid w:val="00A13F1D"/>
    <w:rsid w:val="00A1482D"/>
    <w:rsid w:val="00A14AA1"/>
    <w:rsid w:val="00A155ED"/>
    <w:rsid w:val="00A15F37"/>
    <w:rsid w:val="00A16191"/>
    <w:rsid w:val="00A163E3"/>
    <w:rsid w:val="00A220C0"/>
    <w:rsid w:val="00A22229"/>
    <w:rsid w:val="00A2295F"/>
    <w:rsid w:val="00A22A52"/>
    <w:rsid w:val="00A23246"/>
    <w:rsid w:val="00A24A2E"/>
    <w:rsid w:val="00A25889"/>
    <w:rsid w:val="00A2710F"/>
    <w:rsid w:val="00A3034C"/>
    <w:rsid w:val="00A325EE"/>
    <w:rsid w:val="00A338A1"/>
    <w:rsid w:val="00A349CB"/>
    <w:rsid w:val="00A34E5A"/>
    <w:rsid w:val="00A3508F"/>
    <w:rsid w:val="00A35D8A"/>
    <w:rsid w:val="00A364F7"/>
    <w:rsid w:val="00A36DDD"/>
    <w:rsid w:val="00A378ED"/>
    <w:rsid w:val="00A425BA"/>
    <w:rsid w:val="00A42EEB"/>
    <w:rsid w:val="00A430E2"/>
    <w:rsid w:val="00A4316F"/>
    <w:rsid w:val="00A44A0C"/>
    <w:rsid w:val="00A454B6"/>
    <w:rsid w:val="00A4559F"/>
    <w:rsid w:val="00A45FC0"/>
    <w:rsid w:val="00A472F8"/>
    <w:rsid w:val="00A50571"/>
    <w:rsid w:val="00A50AEA"/>
    <w:rsid w:val="00A5314F"/>
    <w:rsid w:val="00A53F81"/>
    <w:rsid w:val="00A54055"/>
    <w:rsid w:val="00A54B25"/>
    <w:rsid w:val="00A55882"/>
    <w:rsid w:val="00A5590F"/>
    <w:rsid w:val="00A569E0"/>
    <w:rsid w:val="00A56B6B"/>
    <w:rsid w:val="00A60311"/>
    <w:rsid w:val="00A60546"/>
    <w:rsid w:val="00A61107"/>
    <w:rsid w:val="00A63EEE"/>
    <w:rsid w:val="00A6445C"/>
    <w:rsid w:val="00A66F1E"/>
    <w:rsid w:val="00A6760A"/>
    <w:rsid w:val="00A676D3"/>
    <w:rsid w:val="00A679AD"/>
    <w:rsid w:val="00A71142"/>
    <w:rsid w:val="00A711B7"/>
    <w:rsid w:val="00A7149F"/>
    <w:rsid w:val="00A72C93"/>
    <w:rsid w:val="00A72DB7"/>
    <w:rsid w:val="00A72FF3"/>
    <w:rsid w:val="00A7410C"/>
    <w:rsid w:val="00A754A0"/>
    <w:rsid w:val="00A76082"/>
    <w:rsid w:val="00A7784F"/>
    <w:rsid w:val="00A80A07"/>
    <w:rsid w:val="00A811D6"/>
    <w:rsid w:val="00A81F02"/>
    <w:rsid w:val="00A82860"/>
    <w:rsid w:val="00A82F07"/>
    <w:rsid w:val="00A832BA"/>
    <w:rsid w:val="00A8331B"/>
    <w:rsid w:val="00A83BF6"/>
    <w:rsid w:val="00A84963"/>
    <w:rsid w:val="00A84D9C"/>
    <w:rsid w:val="00A85048"/>
    <w:rsid w:val="00A86552"/>
    <w:rsid w:val="00A86CD7"/>
    <w:rsid w:val="00A86D7C"/>
    <w:rsid w:val="00A8750A"/>
    <w:rsid w:val="00A9017B"/>
    <w:rsid w:val="00A90878"/>
    <w:rsid w:val="00A91266"/>
    <w:rsid w:val="00A9266A"/>
    <w:rsid w:val="00A9310D"/>
    <w:rsid w:val="00A9367D"/>
    <w:rsid w:val="00A950F4"/>
    <w:rsid w:val="00A9567A"/>
    <w:rsid w:val="00A96783"/>
    <w:rsid w:val="00A97098"/>
    <w:rsid w:val="00A97337"/>
    <w:rsid w:val="00A97B08"/>
    <w:rsid w:val="00A97D41"/>
    <w:rsid w:val="00A97F5A"/>
    <w:rsid w:val="00A97F92"/>
    <w:rsid w:val="00AA253F"/>
    <w:rsid w:val="00AA25AC"/>
    <w:rsid w:val="00AA28D2"/>
    <w:rsid w:val="00AA2D58"/>
    <w:rsid w:val="00AA4A27"/>
    <w:rsid w:val="00AA4C06"/>
    <w:rsid w:val="00AA5C1F"/>
    <w:rsid w:val="00AA62A7"/>
    <w:rsid w:val="00AA7E5F"/>
    <w:rsid w:val="00AB0ED1"/>
    <w:rsid w:val="00AB16F3"/>
    <w:rsid w:val="00AB23B0"/>
    <w:rsid w:val="00AB2567"/>
    <w:rsid w:val="00AB3537"/>
    <w:rsid w:val="00AB365A"/>
    <w:rsid w:val="00AB3A63"/>
    <w:rsid w:val="00AB4201"/>
    <w:rsid w:val="00AB453D"/>
    <w:rsid w:val="00AB48D1"/>
    <w:rsid w:val="00AB4CFC"/>
    <w:rsid w:val="00AB58F2"/>
    <w:rsid w:val="00AB5E9F"/>
    <w:rsid w:val="00AB61EF"/>
    <w:rsid w:val="00AB689B"/>
    <w:rsid w:val="00AB7541"/>
    <w:rsid w:val="00AB7CDE"/>
    <w:rsid w:val="00AC0AAA"/>
    <w:rsid w:val="00AC1771"/>
    <w:rsid w:val="00AC1934"/>
    <w:rsid w:val="00AC277A"/>
    <w:rsid w:val="00AC41F9"/>
    <w:rsid w:val="00AC4EEC"/>
    <w:rsid w:val="00AC6C46"/>
    <w:rsid w:val="00AC6D5D"/>
    <w:rsid w:val="00AC6F64"/>
    <w:rsid w:val="00AC706B"/>
    <w:rsid w:val="00AC7487"/>
    <w:rsid w:val="00AC7B00"/>
    <w:rsid w:val="00AD03D9"/>
    <w:rsid w:val="00AD20AF"/>
    <w:rsid w:val="00AD25AD"/>
    <w:rsid w:val="00AD3A59"/>
    <w:rsid w:val="00AD3BBF"/>
    <w:rsid w:val="00AD613B"/>
    <w:rsid w:val="00AE079E"/>
    <w:rsid w:val="00AE0D0C"/>
    <w:rsid w:val="00AE1BA9"/>
    <w:rsid w:val="00AE2387"/>
    <w:rsid w:val="00AE4002"/>
    <w:rsid w:val="00AE6E19"/>
    <w:rsid w:val="00AE724E"/>
    <w:rsid w:val="00AE76A8"/>
    <w:rsid w:val="00AF09A0"/>
    <w:rsid w:val="00AF1091"/>
    <w:rsid w:val="00AF18A6"/>
    <w:rsid w:val="00AF18CA"/>
    <w:rsid w:val="00AF1CFD"/>
    <w:rsid w:val="00AF2306"/>
    <w:rsid w:val="00AF2617"/>
    <w:rsid w:val="00AF2AE5"/>
    <w:rsid w:val="00AF2B00"/>
    <w:rsid w:val="00AF3AD9"/>
    <w:rsid w:val="00AF4640"/>
    <w:rsid w:val="00AF5145"/>
    <w:rsid w:val="00AF58F3"/>
    <w:rsid w:val="00AF5ABA"/>
    <w:rsid w:val="00AF6D94"/>
    <w:rsid w:val="00B00317"/>
    <w:rsid w:val="00B0149D"/>
    <w:rsid w:val="00B014EC"/>
    <w:rsid w:val="00B04FE2"/>
    <w:rsid w:val="00B05126"/>
    <w:rsid w:val="00B05777"/>
    <w:rsid w:val="00B05B5E"/>
    <w:rsid w:val="00B06527"/>
    <w:rsid w:val="00B10C3C"/>
    <w:rsid w:val="00B11271"/>
    <w:rsid w:val="00B112A5"/>
    <w:rsid w:val="00B116FF"/>
    <w:rsid w:val="00B118CF"/>
    <w:rsid w:val="00B12833"/>
    <w:rsid w:val="00B12D4B"/>
    <w:rsid w:val="00B140E9"/>
    <w:rsid w:val="00B14557"/>
    <w:rsid w:val="00B1471D"/>
    <w:rsid w:val="00B15438"/>
    <w:rsid w:val="00B17281"/>
    <w:rsid w:val="00B2131B"/>
    <w:rsid w:val="00B21BF3"/>
    <w:rsid w:val="00B222E2"/>
    <w:rsid w:val="00B230A8"/>
    <w:rsid w:val="00B2310C"/>
    <w:rsid w:val="00B23328"/>
    <w:rsid w:val="00B233EC"/>
    <w:rsid w:val="00B23B81"/>
    <w:rsid w:val="00B242B1"/>
    <w:rsid w:val="00B24E54"/>
    <w:rsid w:val="00B25994"/>
    <w:rsid w:val="00B27646"/>
    <w:rsid w:val="00B31A01"/>
    <w:rsid w:val="00B31E3C"/>
    <w:rsid w:val="00B32C18"/>
    <w:rsid w:val="00B33037"/>
    <w:rsid w:val="00B33732"/>
    <w:rsid w:val="00B3483B"/>
    <w:rsid w:val="00B35C7E"/>
    <w:rsid w:val="00B36448"/>
    <w:rsid w:val="00B377F6"/>
    <w:rsid w:val="00B416B1"/>
    <w:rsid w:val="00B418F4"/>
    <w:rsid w:val="00B426A2"/>
    <w:rsid w:val="00B43376"/>
    <w:rsid w:val="00B43E68"/>
    <w:rsid w:val="00B44209"/>
    <w:rsid w:val="00B44CCC"/>
    <w:rsid w:val="00B44EAC"/>
    <w:rsid w:val="00B465C8"/>
    <w:rsid w:val="00B472C9"/>
    <w:rsid w:val="00B47F43"/>
    <w:rsid w:val="00B506AC"/>
    <w:rsid w:val="00B50773"/>
    <w:rsid w:val="00B50D1B"/>
    <w:rsid w:val="00B50E2C"/>
    <w:rsid w:val="00B51364"/>
    <w:rsid w:val="00B517ED"/>
    <w:rsid w:val="00B52041"/>
    <w:rsid w:val="00B52F1D"/>
    <w:rsid w:val="00B53170"/>
    <w:rsid w:val="00B536A8"/>
    <w:rsid w:val="00B53B00"/>
    <w:rsid w:val="00B54AE6"/>
    <w:rsid w:val="00B54F8C"/>
    <w:rsid w:val="00B551CF"/>
    <w:rsid w:val="00B56D06"/>
    <w:rsid w:val="00B5765A"/>
    <w:rsid w:val="00B60C22"/>
    <w:rsid w:val="00B616A0"/>
    <w:rsid w:val="00B620CA"/>
    <w:rsid w:val="00B6232A"/>
    <w:rsid w:val="00B62B8F"/>
    <w:rsid w:val="00B6475C"/>
    <w:rsid w:val="00B649F7"/>
    <w:rsid w:val="00B667C6"/>
    <w:rsid w:val="00B66DB7"/>
    <w:rsid w:val="00B67ADB"/>
    <w:rsid w:val="00B70A7F"/>
    <w:rsid w:val="00B716B3"/>
    <w:rsid w:val="00B719C9"/>
    <w:rsid w:val="00B71C25"/>
    <w:rsid w:val="00B71D4B"/>
    <w:rsid w:val="00B7214B"/>
    <w:rsid w:val="00B73636"/>
    <w:rsid w:val="00B7370E"/>
    <w:rsid w:val="00B73C08"/>
    <w:rsid w:val="00B7439C"/>
    <w:rsid w:val="00B743D7"/>
    <w:rsid w:val="00B7657E"/>
    <w:rsid w:val="00B76793"/>
    <w:rsid w:val="00B76C42"/>
    <w:rsid w:val="00B76CBC"/>
    <w:rsid w:val="00B770C9"/>
    <w:rsid w:val="00B80C63"/>
    <w:rsid w:val="00B819ED"/>
    <w:rsid w:val="00B8390E"/>
    <w:rsid w:val="00B83CA3"/>
    <w:rsid w:val="00B84219"/>
    <w:rsid w:val="00B84275"/>
    <w:rsid w:val="00B84382"/>
    <w:rsid w:val="00B85068"/>
    <w:rsid w:val="00B85154"/>
    <w:rsid w:val="00B85546"/>
    <w:rsid w:val="00B85D8E"/>
    <w:rsid w:val="00B87377"/>
    <w:rsid w:val="00B87EA2"/>
    <w:rsid w:val="00B913AA"/>
    <w:rsid w:val="00B91481"/>
    <w:rsid w:val="00B91B01"/>
    <w:rsid w:val="00B9205C"/>
    <w:rsid w:val="00B925BA"/>
    <w:rsid w:val="00B93031"/>
    <w:rsid w:val="00B9335D"/>
    <w:rsid w:val="00B94400"/>
    <w:rsid w:val="00B95673"/>
    <w:rsid w:val="00B961C8"/>
    <w:rsid w:val="00B96C2A"/>
    <w:rsid w:val="00B96FD4"/>
    <w:rsid w:val="00B97971"/>
    <w:rsid w:val="00BA04E1"/>
    <w:rsid w:val="00BA18D1"/>
    <w:rsid w:val="00BA19E0"/>
    <w:rsid w:val="00BA1F8A"/>
    <w:rsid w:val="00BA258C"/>
    <w:rsid w:val="00BA321E"/>
    <w:rsid w:val="00BA3EDB"/>
    <w:rsid w:val="00BA4441"/>
    <w:rsid w:val="00BA46B0"/>
    <w:rsid w:val="00BA47DA"/>
    <w:rsid w:val="00BA4E91"/>
    <w:rsid w:val="00BA5E59"/>
    <w:rsid w:val="00BA6D0B"/>
    <w:rsid w:val="00BA75F2"/>
    <w:rsid w:val="00BB0F17"/>
    <w:rsid w:val="00BB1A4D"/>
    <w:rsid w:val="00BB228F"/>
    <w:rsid w:val="00BB304B"/>
    <w:rsid w:val="00BB347F"/>
    <w:rsid w:val="00BB36ED"/>
    <w:rsid w:val="00BB50DE"/>
    <w:rsid w:val="00BB641A"/>
    <w:rsid w:val="00BB6DED"/>
    <w:rsid w:val="00BB79A4"/>
    <w:rsid w:val="00BB7A89"/>
    <w:rsid w:val="00BB7CBB"/>
    <w:rsid w:val="00BC08D4"/>
    <w:rsid w:val="00BC0CB8"/>
    <w:rsid w:val="00BC0EE4"/>
    <w:rsid w:val="00BC1B82"/>
    <w:rsid w:val="00BC1D46"/>
    <w:rsid w:val="00BC21D7"/>
    <w:rsid w:val="00BC4A61"/>
    <w:rsid w:val="00BC52EB"/>
    <w:rsid w:val="00BC5978"/>
    <w:rsid w:val="00BC5A14"/>
    <w:rsid w:val="00BD0100"/>
    <w:rsid w:val="00BD297C"/>
    <w:rsid w:val="00BD2BB6"/>
    <w:rsid w:val="00BD4509"/>
    <w:rsid w:val="00BD483C"/>
    <w:rsid w:val="00BD4931"/>
    <w:rsid w:val="00BD499A"/>
    <w:rsid w:val="00BD532D"/>
    <w:rsid w:val="00BD6F03"/>
    <w:rsid w:val="00BD6FDA"/>
    <w:rsid w:val="00BD77B5"/>
    <w:rsid w:val="00BD7A55"/>
    <w:rsid w:val="00BE00E4"/>
    <w:rsid w:val="00BE0270"/>
    <w:rsid w:val="00BE0809"/>
    <w:rsid w:val="00BE0965"/>
    <w:rsid w:val="00BE0D73"/>
    <w:rsid w:val="00BE0DD9"/>
    <w:rsid w:val="00BE180E"/>
    <w:rsid w:val="00BE19CD"/>
    <w:rsid w:val="00BE21A8"/>
    <w:rsid w:val="00BE2827"/>
    <w:rsid w:val="00BE2CB6"/>
    <w:rsid w:val="00BE331A"/>
    <w:rsid w:val="00BE391E"/>
    <w:rsid w:val="00BE4444"/>
    <w:rsid w:val="00BE48B7"/>
    <w:rsid w:val="00BE4C20"/>
    <w:rsid w:val="00BE53BC"/>
    <w:rsid w:val="00BE5574"/>
    <w:rsid w:val="00BE5CDB"/>
    <w:rsid w:val="00BE5DF3"/>
    <w:rsid w:val="00BE61B0"/>
    <w:rsid w:val="00BE6BFF"/>
    <w:rsid w:val="00BE74B4"/>
    <w:rsid w:val="00BE74D9"/>
    <w:rsid w:val="00BF01E3"/>
    <w:rsid w:val="00BF0B84"/>
    <w:rsid w:val="00BF19A0"/>
    <w:rsid w:val="00BF2280"/>
    <w:rsid w:val="00BF4843"/>
    <w:rsid w:val="00BF4B69"/>
    <w:rsid w:val="00BF5F81"/>
    <w:rsid w:val="00BF6456"/>
    <w:rsid w:val="00BF6462"/>
    <w:rsid w:val="00BF6F8D"/>
    <w:rsid w:val="00BF7738"/>
    <w:rsid w:val="00C00471"/>
    <w:rsid w:val="00C011B3"/>
    <w:rsid w:val="00C014C6"/>
    <w:rsid w:val="00C01839"/>
    <w:rsid w:val="00C01BF8"/>
    <w:rsid w:val="00C02043"/>
    <w:rsid w:val="00C04F50"/>
    <w:rsid w:val="00C05E06"/>
    <w:rsid w:val="00C06FED"/>
    <w:rsid w:val="00C0702F"/>
    <w:rsid w:val="00C076D3"/>
    <w:rsid w:val="00C1041E"/>
    <w:rsid w:val="00C1044E"/>
    <w:rsid w:val="00C10EB9"/>
    <w:rsid w:val="00C11E3B"/>
    <w:rsid w:val="00C1233D"/>
    <w:rsid w:val="00C12AFA"/>
    <w:rsid w:val="00C12E9A"/>
    <w:rsid w:val="00C1412B"/>
    <w:rsid w:val="00C15578"/>
    <w:rsid w:val="00C15648"/>
    <w:rsid w:val="00C16E21"/>
    <w:rsid w:val="00C17244"/>
    <w:rsid w:val="00C2000C"/>
    <w:rsid w:val="00C2020E"/>
    <w:rsid w:val="00C20265"/>
    <w:rsid w:val="00C20ECB"/>
    <w:rsid w:val="00C2112F"/>
    <w:rsid w:val="00C21CA1"/>
    <w:rsid w:val="00C21D7D"/>
    <w:rsid w:val="00C21FB0"/>
    <w:rsid w:val="00C24142"/>
    <w:rsid w:val="00C257EC"/>
    <w:rsid w:val="00C25B6F"/>
    <w:rsid w:val="00C25CA5"/>
    <w:rsid w:val="00C2605E"/>
    <w:rsid w:val="00C2648E"/>
    <w:rsid w:val="00C26B97"/>
    <w:rsid w:val="00C27BE2"/>
    <w:rsid w:val="00C30194"/>
    <w:rsid w:val="00C30F85"/>
    <w:rsid w:val="00C31129"/>
    <w:rsid w:val="00C313E7"/>
    <w:rsid w:val="00C3210B"/>
    <w:rsid w:val="00C34EEE"/>
    <w:rsid w:val="00C3561D"/>
    <w:rsid w:val="00C3654D"/>
    <w:rsid w:val="00C369FE"/>
    <w:rsid w:val="00C410EB"/>
    <w:rsid w:val="00C4196A"/>
    <w:rsid w:val="00C41CF2"/>
    <w:rsid w:val="00C41E47"/>
    <w:rsid w:val="00C42E87"/>
    <w:rsid w:val="00C42F00"/>
    <w:rsid w:val="00C43453"/>
    <w:rsid w:val="00C44924"/>
    <w:rsid w:val="00C45097"/>
    <w:rsid w:val="00C45C93"/>
    <w:rsid w:val="00C461EB"/>
    <w:rsid w:val="00C50077"/>
    <w:rsid w:val="00C51720"/>
    <w:rsid w:val="00C520D7"/>
    <w:rsid w:val="00C52B35"/>
    <w:rsid w:val="00C5372C"/>
    <w:rsid w:val="00C53769"/>
    <w:rsid w:val="00C53EEF"/>
    <w:rsid w:val="00C55CD2"/>
    <w:rsid w:val="00C55E91"/>
    <w:rsid w:val="00C562B4"/>
    <w:rsid w:val="00C56832"/>
    <w:rsid w:val="00C56C08"/>
    <w:rsid w:val="00C57869"/>
    <w:rsid w:val="00C60DF5"/>
    <w:rsid w:val="00C60FED"/>
    <w:rsid w:val="00C627A3"/>
    <w:rsid w:val="00C64C2F"/>
    <w:rsid w:val="00C6528A"/>
    <w:rsid w:val="00C6546A"/>
    <w:rsid w:val="00C66586"/>
    <w:rsid w:val="00C665F2"/>
    <w:rsid w:val="00C6749F"/>
    <w:rsid w:val="00C676D3"/>
    <w:rsid w:val="00C7054B"/>
    <w:rsid w:val="00C71439"/>
    <w:rsid w:val="00C72AE9"/>
    <w:rsid w:val="00C7375A"/>
    <w:rsid w:val="00C74048"/>
    <w:rsid w:val="00C74654"/>
    <w:rsid w:val="00C74775"/>
    <w:rsid w:val="00C74F0F"/>
    <w:rsid w:val="00C754A8"/>
    <w:rsid w:val="00C7556D"/>
    <w:rsid w:val="00C75F55"/>
    <w:rsid w:val="00C76725"/>
    <w:rsid w:val="00C81867"/>
    <w:rsid w:val="00C81AAE"/>
    <w:rsid w:val="00C81EBC"/>
    <w:rsid w:val="00C847AA"/>
    <w:rsid w:val="00C84C3A"/>
    <w:rsid w:val="00C86300"/>
    <w:rsid w:val="00C8679C"/>
    <w:rsid w:val="00C8685C"/>
    <w:rsid w:val="00C87645"/>
    <w:rsid w:val="00C87795"/>
    <w:rsid w:val="00C8788F"/>
    <w:rsid w:val="00C878A2"/>
    <w:rsid w:val="00C93936"/>
    <w:rsid w:val="00C948E7"/>
    <w:rsid w:val="00C963E5"/>
    <w:rsid w:val="00C967BE"/>
    <w:rsid w:val="00C96E4A"/>
    <w:rsid w:val="00C97546"/>
    <w:rsid w:val="00C975A8"/>
    <w:rsid w:val="00C97688"/>
    <w:rsid w:val="00C97773"/>
    <w:rsid w:val="00C9786B"/>
    <w:rsid w:val="00C97D39"/>
    <w:rsid w:val="00CA1482"/>
    <w:rsid w:val="00CA1957"/>
    <w:rsid w:val="00CA2159"/>
    <w:rsid w:val="00CA21E3"/>
    <w:rsid w:val="00CA2ACE"/>
    <w:rsid w:val="00CA3B1F"/>
    <w:rsid w:val="00CA3B41"/>
    <w:rsid w:val="00CA3BA7"/>
    <w:rsid w:val="00CA3D0C"/>
    <w:rsid w:val="00CA7866"/>
    <w:rsid w:val="00CA7F24"/>
    <w:rsid w:val="00CB0C31"/>
    <w:rsid w:val="00CB0D84"/>
    <w:rsid w:val="00CB1580"/>
    <w:rsid w:val="00CB1A38"/>
    <w:rsid w:val="00CB21B3"/>
    <w:rsid w:val="00CB4072"/>
    <w:rsid w:val="00CB484D"/>
    <w:rsid w:val="00CB517A"/>
    <w:rsid w:val="00CB61C9"/>
    <w:rsid w:val="00CB62EE"/>
    <w:rsid w:val="00CB7176"/>
    <w:rsid w:val="00CB730C"/>
    <w:rsid w:val="00CC0F4A"/>
    <w:rsid w:val="00CC0F68"/>
    <w:rsid w:val="00CC22B1"/>
    <w:rsid w:val="00CC2A03"/>
    <w:rsid w:val="00CC2C93"/>
    <w:rsid w:val="00CC2DC4"/>
    <w:rsid w:val="00CC384C"/>
    <w:rsid w:val="00CC3988"/>
    <w:rsid w:val="00CC52C9"/>
    <w:rsid w:val="00CC53F4"/>
    <w:rsid w:val="00CC5AF3"/>
    <w:rsid w:val="00CC68BF"/>
    <w:rsid w:val="00CC6958"/>
    <w:rsid w:val="00CC7C45"/>
    <w:rsid w:val="00CD13B1"/>
    <w:rsid w:val="00CD2107"/>
    <w:rsid w:val="00CD28EC"/>
    <w:rsid w:val="00CD2DC8"/>
    <w:rsid w:val="00CD3D23"/>
    <w:rsid w:val="00CD561D"/>
    <w:rsid w:val="00CD6EF5"/>
    <w:rsid w:val="00CE052C"/>
    <w:rsid w:val="00CE0CE1"/>
    <w:rsid w:val="00CE20E9"/>
    <w:rsid w:val="00CE3DD3"/>
    <w:rsid w:val="00CE4053"/>
    <w:rsid w:val="00CE4954"/>
    <w:rsid w:val="00CE5016"/>
    <w:rsid w:val="00CE596E"/>
    <w:rsid w:val="00CE5FEF"/>
    <w:rsid w:val="00CF1160"/>
    <w:rsid w:val="00CF3482"/>
    <w:rsid w:val="00CF4940"/>
    <w:rsid w:val="00CF4CD4"/>
    <w:rsid w:val="00CF5293"/>
    <w:rsid w:val="00CF72AC"/>
    <w:rsid w:val="00D0011E"/>
    <w:rsid w:val="00D004E5"/>
    <w:rsid w:val="00D0136A"/>
    <w:rsid w:val="00D0142A"/>
    <w:rsid w:val="00D0150B"/>
    <w:rsid w:val="00D0280B"/>
    <w:rsid w:val="00D038D7"/>
    <w:rsid w:val="00D052E6"/>
    <w:rsid w:val="00D05DDB"/>
    <w:rsid w:val="00D073F9"/>
    <w:rsid w:val="00D07DD7"/>
    <w:rsid w:val="00D10717"/>
    <w:rsid w:val="00D1147F"/>
    <w:rsid w:val="00D13DF1"/>
    <w:rsid w:val="00D13EDA"/>
    <w:rsid w:val="00D15061"/>
    <w:rsid w:val="00D15D74"/>
    <w:rsid w:val="00D1722E"/>
    <w:rsid w:val="00D176B7"/>
    <w:rsid w:val="00D20B08"/>
    <w:rsid w:val="00D2261D"/>
    <w:rsid w:val="00D228B8"/>
    <w:rsid w:val="00D24515"/>
    <w:rsid w:val="00D24E61"/>
    <w:rsid w:val="00D2526B"/>
    <w:rsid w:val="00D266A9"/>
    <w:rsid w:val="00D27660"/>
    <w:rsid w:val="00D30E94"/>
    <w:rsid w:val="00D31401"/>
    <w:rsid w:val="00D324DA"/>
    <w:rsid w:val="00D3266B"/>
    <w:rsid w:val="00D32A14"/>
    <w:rsid w:val="00D32B43"/>
    <w:rsid w:val="00D33571"/>
    <w:rsid w:val="00D339A1"/>
    <w:rsid w:val="00D33CFC"/>
    <w:rsid w:val="00D344F3"/>
    <w:rsid w:val="00D3524B"/>
    <w:rsid w:val="00D357A4"/>
    <w:rsid w:val="00D36238"/>
    <w:rsid w:val="00D36EB1"/>
    <w:rsid w:val="00D375AE"/>
    <w:rsid w:val="00D4029D"/>
    <w:rsid w:val="00D44DF2"/>
    <w:rsid w:val="00D44EDE"/>
    <w:rsid w:val="00D451A5"/>
    <w:rsid w:val="00D451C1"/>
    <w:rsid w:val="00D45283"/>
    <w:rsid w:val="00D4541B"/>
    <w:rsid w:val="00D477C3"/>
    <w:rsid w:val="00D47CB0"/>
    <w:rsid w:val="00D47DE7"/>
    <w:rsid w:val="00D51271"/>
    <w:rsid w:val="00D51828"/>
    <w:rsid w:val="00D53179"/>
    <w:rsid w:val="00D53DC5"/>
    <w:rsid w:val="00D5465D"/>
    <w:rsid w:val="00D5517C"/>
    <w:rsid w:val="00D55406"/>
    <w:rsid w:val="00D55E9A"/>
    <w:rsid w:val="00D5615B"/>
    <w:rsid w:val="00D56E84"/>
    <w:rsid w:val="00D60759"/>
    <w:rsid w:val="00D6293F"/>
    <w:rsid w:val="00D662E4"/>
    <w:rsid w:val="00D670D3"/>
    <w:rsid w:val="00D67470"/>
    <w:rsid w:val="00D6792F"/>
    <w:rsid w:val="00D67B99"/>
    <w:rsid w:val="00D67FC9"/>
    <w:rsid w:val="00D709B5"/>
    <w:rsid w:val="00D729D1"/>
    <w:rsid w:val="00D72B2A"/>
    <w:rsid w:val="00D736FB"/>
    <w:rsid w:val="00D73AAF"/>
    <w:rsid w:val="00D73B35"/>
    <w:rsid w:val="00D74B08"/>
    <w:rsid w:val="00D75B0B"/>
    <w:rsid w:val="00D77388"/>
    <w:rsid w:val="00D775D2"/>
    <w:rsid w:val="00D77855"/>
    <w:rsid w:val="00D80D94"/>
    <w:rsid w:val="00D8118D"/>
    <w:rsid w:val="00D82637"/>
    <w:rsid w:val="00D83283"/>
    <w:rsid w:val="00D83860"/>
    <w:rsid w:val="00D83D34"/>
    <w:rsid w:val="00D85155"/>
    <w:rsid w:val="00D85F3F"/>
    <w:rsid w:val="00D86169"/>
    <w:rsid w:val="00D8652F"/>
    <w:rsid w:val="00D86BF7"/>
    <w:rsid w:val="00D875E3"/>
    <w:rsid w:val="00D91421"/>
    <w:rsid w:val="00D91CBD"/>
    <w:rsid w:val="00D926E9"/>
    <w:rsid w:val="00D92B66"/>
    <w:rsid w:val="00D9348C"/>
    <w:rsid w:val="00D93CC1"/>
    <w:rsid w:val="00D93EB9"/>
    <w:rsid w:val="00D942A3"/>
    <w:rsid w:val="00D95384"/>
    <w:rsid w:val="00D9583F"/>
    <w:rsid w:val="00D96C34"/>
    <w:rsid w:val="00D970E9"/>
    <w:rsid w:val="00D97E49"/>
    <w:rsid w:val="00DA073F"/>
    <w:rsid w:val="00DA08BF"/>
    <w:rsid w:val="00DA12F6"/>
    <w:rsid w:val="00DA1419"/>
    <w:rsid w:val="00DA2603"/>
    <w:rsid w:val="00DA2818"/>
    <w:rsid w:val="00DA2876"/>
    <w:rsid w:val="00DA40F8"/>
    <w:rsid w:val="00DA4875"/>
    <w:rsid w:val="00DA4917"/>
    <w:rsid w:val="00DA4E73"/>
    <w:rsid w:val="00DA5117"/>
    <w:rsid w:val="00DA61B6"/>
    <w:rsid w:val="00DA68C1"/>
    <w:rsid w:val="00DA71E0"/>
    <w:rsid w:val="00DA7808"/>
    <w:rsid w:val="00DB35F8"/>
    <w:rsid w:val="00DB57B7"/>
    <w:rsid w:val="00DB67E5"/>
    <w:rsid w:val="00DB68CD"/>
    <w:rsid w:val="00DB73AB"/>
    <w:rsid w:val="00DB761D"/>
    <w:rsid w:val="00DB7C28"/>
    <w:rsid w:val="00DC13F9"/>
    <w:rsid w:val="00DC1D72"/>
    <w:rsid w:val="00DC2E2C"/>
    <w:rsid w:val="00DC4E8F"/>
    <w:rsid w:val="00DC545A"/>
    <w:rsid w:val="00DC585F"/>
    <w:rsid w:val="00DC77F2"/>
    <w:rsid w:val="00DC78DB"/>
    <w:rsid w:val="00DC7F7D"/>
    <w:rsid w:val="00DD028A"/>
    <w:rsid w:val="00DD08C1"/>
    <w:rsid w:val="00DD19C8"/>
    <w:rsid w:val="00DD2278"/>
    <w:rsid w:val="00DD4F3E"/>
    <w:rsid w:val="00DD67A9"/>
    <w:rsid w:val="00DD6EA5"/>
    <w:rsid w:val="00DD75C0"/>
    <w:rsid w:val="00DD7C85"/>
    <w:rsid w:val="00DE2574"/>
    <w:rsid w:val="00DE2C5D"/>
    <w:rsid w:val="00DE36B6"/>
    <w:rsid w:val="00DE4BD0"/>
    <w:rsid w:val="00DE58C9"/>
    <w:rsid w:val="00DE58D7"/>
    <w:rsid w:val="00DE62BC"/>
    <w:rsid w:val="00DE7572"/>
    <w:rsid w:val="00DE7BEA"/>
    <w:rsid w:val="00DE7DAF"/>
    <w:rsid w:val="00DF154D"/>
    <w:rsid w:val="00DF16FC"/>
    <w:rsid w:val="00DF19F6"/>
    <w:rsid w:val="00DF376E"/>
    <w:rsid w:val="00DF431A"/>
    <w:rsid w:val="00DF62C6"/>
    <w:rsid w:val="00DF6D21"/>
    <w:rsid w:val="00DF7C00"/>
    <w:rsid w:val="00E00BBD"/>
    <w:rsid w:val="00E01F2F"/>
    <w:rsid w:val="00E02136"/>
    <w:rsid w:val="00E02157"/>
    <w:rsid w:val="00E0219A"/>
    <w:rsid w:val="00E02370"/>
    <w:rsid w:val="00E02392"/>
    <w:rsid w:val="00E02F84"/>
    <w:rsid w:val="00E03E17"/>
    <w:rsid w:val="00E042FF"/>
    <w:rsid w:val="00E05C13"/>
    <w:rsid w:val="00E05C1A"/>
    <w:rsid w:val="00E064CA"/>
    <w:rsid w:val="00E065B2"/>
    <w:rsid w:val="00E06813"/>
    <w:rsid w:val="00E10053"/>
    <w:rsid w:val="00E111E4"/>
    <w:rsid w:val="00E11521"/>
    <w:rsid w:val="00E127AF"/>
    <w:rsid w:val="00E13B47"/>
    <w:rsid w:val="00E14A24"/>
    <w:rsid w:val="00E15933"/>
    <w:rsid w:val="00E15B99"/>
    <w:rsid w:val="00E16FAA"/>
    <w:rsid w:val="00E171C2"/>
    <w:rsid w:val="00E20598"/>
    <w:rsid w:val="00E20664"/>
    <w:rsid w:val="00E2148E"/>
    <w:rsid w:val="00E21C56"/>
    <w:rsid w:val="00E22425"/>
    <w:rsid w:val="00E23F67"/>
    <w:rsid w:val="00E24926"/>
    <w:rsid w:val="00E24E04"/>
    <w:rsid w:val="00E2580D"/>
    <w:rsid w:val="00E2583C"/>
    <w:rsid w:val="00E2789E"/>
    <w:rsid w:val="00E27F2F"/>
    <w:rsid w:val="00E30294"/>
    <w:rsid w:val="00E315D6"/>
    <w:rsid w:val="00E3258F"/>
    <w:rsid w:val="00E330AB"/>
    <w:rsid w:val="00E3317B"/>
    <w:rsid w:val="00E3386F"/>
    <w:rsid w:val="00E341F0"/>
    <w:rsid w:val="00E350BD"/>
    <w:rsid w:val="00E3540A"/>
    <w:rsid w:val="00E35AE0"/>
    <w:rsid w:val="00E36335"/>
    <w:rsid w:val="00E373B4"/>
    <w:rsid w:val="00E37B5C"/>
    <w:rsid w:val="00E37CF8"/>
    <w:rsid w:val="00E40350"/>
    <w:rsid w:val="00E407AC"/>
    <w:rsid w:val="00E413A5"/>
    <w:rsid w:val="00E41AF8"/>
    <w:rsid w:val="00E4296A"/>
    <w:rsid w:val="00E43380"/>
    <w:rsid w:val="00E44274"/>
    <w:rsid w:val="00E44603"/>
    <w:rsid w:val="00E44F24"/>
    <w:rsid w:val="00E455B4"/>
    <w:rsid w:val="00E46FA7"/>
    <w:rsid w:val="00E46FBA"/>
    <w:rsid w:val="00E47328"/>
    <w:rsid w:val="00E479DF"/>
    <w:rsid w:val="00E505D8"/>
    <w:rsid w:val="00E50B83"/>
    <w:rsid w:val="00E51530"/>
    <w:rsid w:val="00E5252F"/>
    <w:rsid w:val="00E528C6"/>
    <w:rsid w:val="00E52B26"/>
    <w:rsid w:val="00E535BD"/>
    <w:rsid w:val="00E54596"/>
    <w:rsid w:val="00E55578"/>
    <w:rsid w:val="00E56000"/>
    <w:rsid w:val="00E56378"/>
    <w:rsid w:val="00E57208"/>
    <w:rsid w:val="00E57457"/>
    <w:rsid w:val="00E60175"/>
    <w:rsid w:val="00E6160E"/>
    <w:rsid w:val="00E63F00"/>
    <w:rsid w:val="00E642DC"/>
    <w:rsid w:val="00E64E57"/>
    <w:rsid w:val="00E64F71"/>
    <w:rsid w:val="00E64FC2"/>
    <w:rsid w:val="00E65240"/>
    <w:rsid w:val="00E67590"/>
    <w:rsid w:val="00E67A1A"/>
    <w:rsid w:val="00E703B1"/>
    <w:rsid w:val="00E7045C"/>
    <w:rsid w:val="00E718EA"/>
    <w:rsid w:val="00E71A6E"/>
    <w:rsid w:val="00E72E55"/>
    <w:rsid w:val="00E733D4"/>
    <w:rsid w:val="00E74228"/>
    <w:rsid w:val="00E74759"/>
    <w:rsid w:val="00E74A24"/>
    <w:rsid w:val="00E74E48"/>
    <w:rsid w:val="00E76B64"/>
    <w:rsid w:val="00E76BBE"/>
    <w:rsid w:val="00E77101"/>
    <w:rsid w:val="00E808C9"/>
    <w:rsid w:val="00E80943"/>
    <w:rsid w:val="00E8112D"/>
    <w:rsid w:val="00E81135"/>
    <w:rsid w:val="00E8148D"/>
    <w:rsid w:val="00E818C3"/>
    <w:rsid w:val="00E82DCF"/>
    <w:rsid w:val="00E84DC4"/>
    <w:rsid w:val="00E8561A"/>
    <w:rsid w:val="00E85DE8"/>
    <w:rsid w:val="00E86672"/>
    <w:rsid w:val="00E86E0C"/>
    <w:rsid w:val="00E87FB1"/>
    <w:rsid w:val="00E900CF"/>
    <w:rsid w:val="00E908C6"/>
    <w:rsid w:val="00E93450"/>
    <w:rsid w:val="00E9372A"/>
    <w:rsid w:val="00E93AFD"/>
    <w:rsid w:val="00E95441"/>
    <w:rsid w:val="00E97970"/>
    <w:rsid w:val="00E979A5"/>
    <w:rsid w:val="00E97C50"/>
    <w:rsid w:val="00EA03D8"/>
    <w:rsid w:val="00EA0DB1"/>
    <w:rsid w:val="00EA507E"/>
    <w:rsid w:val="00EA5747"/>
    <w:rsid w:val="00EA73BA"/>
    <w:rsid w:val="00EA7745"/>
    <w:rsid w:val="00EB0F28"/>
    <w:rsid w:val="00EB1892"/>
    <w:rsid w:val="00EB2336"/>
    <w:rsid w:val="00EB3B2C"/>
    <w:rsid w:val="00EB3F96"/>
    <w:rsid w:val="00EB3FA2"/>
    <w:rsid w:val="00EB4281"/>
    <w:rsid w:val="00EB4A81"/>
    <w:rsid w:val="00EB5264"/>
    <w:rsid w:val="00EB52AE"/>
    <w:rsid w:val="00EB60D0"/>
    <w:rsid w:val="00EC03D2"/>
    <w:rsid w:val="00EC0719"/>
    <w:rsid w:val="00EC09D5"/>
    <w:rsid w:val="00EC202F"/>
    <w:rsid w:val="00EC25AB"/>
    <w:rsid w:val="00EC3DF9"/>
    <w:rsid w:val="00EC4F93"/>
    <w:rsid w:val="00EC5679"/>
    <w:rsid w:val="00EC5764"/>
    <w:rsid w:val="00EC5DBE"/>
    <w:rsid w:val="00EC5DE6"/>
    <w:rsid w:val="00EC6C65"/>
    <w:rsid w:val="00ED0FC6"/>
    <w:rsid w:val="00ED1C3D"/>
    <w:rsid w:val="00ED2264"/>
    <w:rsid w:val="00ED23A2"/>
    <w:rsid w:val="00ED2B1D"/>
    <w:rsid w:val="00ED412E"/>
    <w:rsid w:val="00ED41A8"/>
    <w:rsid w:val="00ED44D2"/>
    <w:rsid w:val="00ED452D"/>
    <w:rsid w:val="00ED5035"/>
    <w:rsid w:val="00ED5703"/>
    <w:rsid w:val="00ED5DD6"/>
    <w:rsid w:val="00ED6AF2"/>
    <w:rsid w:val="00ED7BC1"/>
    <w:rsid w:val="00EE04D4"/>
    <w:rsid w:val="00EE0C71"/>
    <w:rsid w:val="00EE29BE"/>
    <w:rsid w:val="00EE3C34"/>
    <w:rsid w:val="00EE3CDA"/>
    <w:rsid w:val="00EF038F"/>
    <w:rsid w:val="00EF07C3"/>
    <w:rsid w:val="00EF1944"/>
    <w:rsid w:val="00EF26AE"/>
    <w:rsid w:val="00EF27B5"/>
    <w:rsid w:val="00EF493E"/>
    <w:rsid w:val="00EF607A"/>
    <w:rsid w:val="00EF6331"/>
    <w:rsid w:val="00EF6482"/>
    <w:rsid w:val="00EF71FF"/>
    <w:rsid w:val="00EF773B"/>
    <w:rsid w:val="00F00241"/>
    <w:rsid w:val="00F00777"/>
    <w:rsid w:val="00F01AED"/>
    <w:rsid w:val="00F02876"/>
    <w:rsid w:val="00F06185"/>
    <w:rsid w:val="00F064C3"/>
    <w:rsid w:val="00F109A7"/>
    <w:rsid w:val="00F10BFD"/>
    <w:rsid w:val="00F10D7E"/>
    <w:rsid w:val="00F11D60"/>
    <w:rsid w:val="00F12451"/>
    <w:rsid w:val="00F12F74"/>
    <w:rsid w:val="00F1303C"/>
    <w:rsid w:val="00F132E8"/>
    <w:rsid w:val="00F14FD4"/>
    <w:rsid w:val="00F15550"/>
    <w:rsid w:val="00F15E8D"/>
    <w:rsid w:val="00F175AF"/>
    <w:rsid w:val="00F205FB"/>
    <w:rsid w:val="00F20DD7"/>
    <w:rsid w:val="00F21CF8"/>
    <w:rsid w:val="00F22A61"/>
    <w:rsid w:val="00F2357B"/>
    <w:rsid w:val="00F23602"/>
    <w:rsid w:val="00F236DC"/>
    <w:rsid w:val="00F2464A"/>
    <w:rsid w:val="00F247BC"/>
    <w:rsid w:val="00F2482C"/>
    <w:rsid w:val="00F25233"/>
    <w:rsid w:val="00F25CBC"/>
    <w:rsid w:val="00F25EAF"/>
    <w:rsid w:val="00F26AC0"/>
    <w:rsid w:val="00F2719D"/>
    <w:rsid w:val="00F27940"/>
    <w:rsid w:val="00F27A13"/>
    <w:rsid w:val="00F27FA1"/>
    <w:rsid w:val="00F3032E"/>
    <w:rsid w:val="00F3124A"/>
    <w:rsid w:val="00F313E8"/>
    <w:rsid w:val="00F31EFE"/>
    <w:rsid w:val="00F3277D"/>
    <w:rsid w:val="00F32822"/>
    <w:rsid w:val="00F3329B"/>
    <w:rsid w:val="00F33D35"/>
    <w:rsid w:val="00F340F0"/>
    <w:rsid w:val="00F343CC"/>
    <w:rsid w:val="00F34F38"/>
    <w:rsid w:val="00F350F7"/>
    <w:rsid w:val="00F35253"/>
    <w:rsid w:val="00F36405"/>
    <w:rsid w:val="00F36950"/>
    <w:rsid w:val="00F371E7"/>
    <w:rsid w:val="00F3733F"/>
    <w:rsid w:val="00F3738F"/>
    <w:rsid w:val="00F37625"/>
    <w:rsid w:val="00F40055"/>
    <w:rsid w:val="00F41E87"/>
    <w:rsid w:val="00F42120"/>
    <w:rsid w:val="00F428F8"/>
    <w:rsid w:val="00F43B83"/>
    <w:rsid w:val="00F44EBF"/>
    <w:rsid w:val="00F45EB3"/>
    <w:rsid w:val="00F47502"/>
    <w:rsid w:val="00F47697"/>
    <w:rsid w:val="00F517F3"/>
    <w:rsid w:val="00F520B3"/>
    <w:rsid w:val="00F53132"/>
    <w:rsid w:val="00F531DC"/>
    <w:rsid w:val="00F538EF"/>
    <w:rsid w:val="00F53F88"/>
    <w:rsid w:val="00F54274"/>
    <w:rsid w:val="00F5456A"/>
    <w:rsid w:val="00F545FC"/>
    <w:rsid w:val="00F547FE"/>
    <w:rsid w:val="00F54E12"/>
    <w:rsid w:val="00F56446"/>
    <w:rsid w:val="00F573F1"/>
    <w:rsid w:val="00F57AF7"/>
    <w:rsid w:val="00F57CAC"/>
    <w:rsid w:val="00F61B21"/>
    <w:rsid w:val="00F61FFC"/>
    <w:rsid w:val="00F625CA"/>
    <w:rsid w:val="00F62A93"/>
    <w:rsid w:val="00F62AF9"/>
    <w:rsid w:val="00F62C6B"/>
    <w:rsid w:val="00F62CDB"/>
    <w:rsid w:val="00F62F06"/>
    <w:rsid w:val="00F644AD"/>
    <w:rsid w:val="00F646BE"/>
    <w:rsid w:val="00F64FF5"/>
    <w:rsid w:val="00F66320"/>
    <w:rsid w:val="00F663A8"/>
    <w:rsid w:val="00F66A76"/>
    <w:rsid w:val="00F674BA"/>
    <w:rsid w:val="00F6767A"/>
    <w:rsid w:val="00F67E6A"/>
    <w:rsid w:val="00F70A48"/>
    <w:rsid w:val="00F70BAD"/>
    <w:rsid w:val="00F71668"/>
    <w:rsid w:val="00F73140"/>
    <w:rsid w:val="00F74364"/>
    <w:rsid w:val="00F74666"/>
    <w:rsid w:val="00F751A4"/>
    <w:rsid w:val="00F7568A"/>
    <w:rsid w:val="00F77C1A"/>
    <w:rsid w:val="00F81073"/>
    <w:rsid w:val="00F812E4"/>
    <w:rsid w:val="00F815BB"/>
    <w:rsid w:val="00F825C9"/>
    <w:rsid w:val="00F8344B"/>
    <w:rsid w:val="00F83EEA"/>
    <w:rsid w:val="00F8461A"/>
    <w:rsid w:val="00F84BEC"/>
    <w:rsid w:val="00F852BE"/>
    <w:rsid w:val="00F8731D"/>
    <w:rsid w:val="00F87CAF"/>
    <w:rsid w:val="00F87FA4"/>
    <w:rsid w:val="00F90063"/>
    <w:rsid w:val="00F90A3D"/>
    <w:rsid w:val="00F90EC0"/>
    <w:rsid w:val="00F91222"/>
    <w:rsid w:val="00F92352"/>
    <w:rsid w:val="00F9267B"/>
    <w:rsid w:val="00F93B7A"/>
    <w:rsid w:val="00F94ACE"/>
    <w:rsid w:val="00F94AE5"/>
    <w:rsid w:val="00F94C20"/>
    <w:rsid w:val="00F94EAF"/>
    <w:rsid w:val="00F96581"/>
    <w:rsid w:val="00F96AF2"/>
    <w:rsid w:val="00F96F50"/>
    <w:rsid w:val="00F970A7"/>
    <w:rsid w:val="00F9738D"/>
    <w:rsid w:val="00FA1622"/>
    <w:rsid w:val="00FA1A3F"/>
    <w:rsid w:val="00FA2228"/>
    <w:rsid w:val="00FA2A03"/>
    <w:rsid w:val="00FA57BD"/>
    <w:rsid w:val="00FA59C4"/>
    <w:rsid w:val="00FA59C6"/>
    <w:rsid w:val="00FA5A3F"/>
    <w:rsid w:val="00FA5B04"/>
    <w:rsid w:val="00FA5F7E"/>
    <w:rsid w:val="00FA6AEF"/>
    <w:rsid w:val="00FB0167"/>
    <w:rsid w:val="00FB0EBB"/>
    <w:rsid w:val="00FB10F6"/>
    <w:rsid w:val="00FB13A2"/>
    <w:rsid w:val="00FB15EB"/>
    <w:rsid w:val="00FB19EB"/>
    <w:rsid w:val="00FB3A29"/>
    <w:rsid w:val="00FB41AF"/>
    <w:rsid w:val="00FB47DE"/>
    <w:rsid w:val="00FB4A1C"/>
    <w:rsid w:val="00FB60CC"/>
    <w:rsid w:val="00FB60FB"/>
    <w:rsid w:val="00FB6635"/>
    <w:rsid w:val="00FB6B37"/>
    <w:rsid w:val="00FB7510"/>
    <w:rsid w:val="00FC111B"/>
    <w:rsid w:val="00FC1DE5"/>
    <w:rsid w:val="00FC206B"/>
    <w:rsid w:val="00FC23C7"/>
    <w:rsid w:val="00FC2710"/>
    <w:rsid w:val="00FC3E40"/>
    <w:rsid w:val="00FC3FB7"/>
    <w:rsid w:val="00FC4378"/>
    <w:rsid w:val="00FC52C1"/>
    <w:rsid w:val="00FC5A6D"/>
    <w:rsid w:val="00FC5B2A"/>
    <w:rsid w:val="00FC65D0"/>
    <w:rsid w:val="00FC772C"/>
    <w:rsid w:val="00FC7DB1"/>
    <w:rsid w:val="00FD0284"/>
    <w:rsid w:val="00FD0BC0"/>
    <w:rsid w:val="00FD1078"/>
    <w:rsid w:val="00FD12DB"/>
    <w:rsid w:val="00FD1306"/>
    <w:rsid w:val="00FD3713"/>
    <w:rsid w:val="00FD4587"/>
    <w:rsid w:val="00FD57E2"/>
    <w:rsid w:val="00FD5B9B"/>
    <w:rsid w:val="00FD66DD"/>
    <w:rsid w:val="00FD6921"/>
    <w:rsid w:val="00FD77C2"/>
    <w:rsid w:val="00FE175F"/>
    <w:rsid w:val="00FE1F8E"/>
    <w:rsid w:val="00FE2ED7"/>
    <w:rsid w:val="00FE329D"/>
    <w:rsid w:val="00FE34B0"/>
    <w:rsid w:val="00FE3AFB"/>
    <w:rsid w:val="00FE3E6F"/>
    <w:rsid w:val="00FE400F"/>
    <w:rsid w:val="00FE4187"/>
    <w:rsid w:val="00FE58C5"/>
    <w:rsid w:val="00FE5ADE"/>
    <w:rsid w:val="00FE5C0B"/>
    <w:rsid w:val="00FE5E79"/>
    <w:rsid w:val="00FE788D"/>
    <w:rsid w:val="00FE797F"/>
    <w:rsid w:val="00FF052C"/>
    <w:rsid w:val="00FF05CB"/>
    <w:rsid w:val="00FF1B26"/>
    <w:rsid w:val="00FF211E"/>
    <w:rsid w:val="00FF27FB"/>
    <w:rsid w:val="00FF31B0"/>
    <w:rsid w:val="00FF3E5C"/>
    <w:rsid w:val="00FF4658"/>
    <w:rsid w:val="00FF473D"/>
    <w:rsid w:val="00FF4E8A"/>
    <w:rsid w:val="00FF556A"/>
    <w:rsid w:val="00FF5D50"/>
    <w:rsid w:val="00FF609F"/>
    <w:rsid w:val="00FF6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8FD0"/>
  <w15:docId w15:val="{A3C56C42-C2BB-4C69-A941-45FEB851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501"/>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73F1"/>
    <w:pPr>
      <w:tabs>
        <w:tab w:val="center" w:pos="4536"/>
        <w:tab w:val="right" w:pos="9072"/>
      </w:tabs>
    </w:pPr>
  </w:style>
  <w:style w:type="character" w:customStyle="1" w:styleId="ZhlavChar">
    <w:name w:val="Záhlaví Char"/>
    <w:basedOn w:val="Standardnpsmoodstavce"/>
    <w:link w:val="Zhlav"/>
    <w:uiPriority w:val="99"/>
    <w:rsid w:val="00F573F1"/>
  </w:style>
  <w:style w:type="paragraph" w:styleId="Zpat">
    <w:name w:val="footer"/>
    <w:basedOn w:val="Normln"/>
    <w:link w:val="ZpatChar"/>
    <w:uiPriority w:val="99"/>
    <w:unhideWhenUsed/>
    <w:rsid w:val="00F573F1"/>
    <w:pPr>
      <w:tabs>
        <w:tab w:val="center" w:pos="4536"/>
        <w:tab w:val="right" w:pos="9072"/>
      </w:tabs>
    </w:pPr>
  </w:style>
  <w:style w:type="character" w:customStyle="1" w:styleId="ZpatChar">
    <w:name w:val="Zápatí Char"/>
    <w:basedOn w:val="Standardnpsmoodstavce"/>
    <w:link w:val="Zpat"/>
    <w:uiPriority w:val="99"/>
    <w:rsid w:val="00F573F1"/>
  </w:style>
  <w:style w:type="paragraph" w:customStyle="1" w:styleId="Standard">
    <w:name w:val="Standard"/>
    <w:rsid w:val="00F573F1"/>
    <w:pPr>
      <w:suppressAutoHyphens/>
      <w:autoSpaceDN w:val="0"/>
      <w:spacing w:after="0" w:line="240" w:lineRule="auto"/>
      <w:jc w:val="both"/>
      <w:textAlignment w:val="baseline"/>
    </w:pPr>
    <w:rPr>
      <w:rFonts w:ascii="Arial" w:eastAsia="Times New Roman" w:hAnsi="Arial" w:cs="Arial Unicode MS"/>
      <w:kern w:val="3"/>
      <w:sz w:val="18"/>
      <w:szCs w:val="20"/>
      <w:lang w:eastAsia="zh-CN" w:bidi="hi-IN"/>
    </w:rPr>
  </w:style>
  <w:style w:type="character" w:styleId="Hypertextovodkaz">
    <w:name w:val="Hyperlink"/>
    <w:basedOn w:val="Standardnpsmoodstavce"/>
    <w:uiPriority w:val="99"/>
    <w:rsid w:val="005A2501"/>
    <w:rPr>
      <w:rFonts w:cs="Times New Roman"/>
      <w:color w:val="0000FF"/>
      <w:u w:val="single"/>
    </w:rPr>
  </w:style>
  <w:style w:type="paragraph" w:styleId="Normlnweb">
    <w:name w:val="Normal (Web)"/>
    <w:basedOn w:val="Normln"/>
    <w:uiPriority w:val="99"/>
    <w:rsid w:val="005A250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styleId="Odstavecseseznamem">
    <w:name w:val="List Paragraph"/>
    <w:basedOn w:val="Normln"/>
    <w:uiPriority w:val="34"/>
    <w:qFormat/>
    <w:rsid w:val="00517111"/>
    <w:pPr>
      <w:ind w:left="720"/>
      <w:contextualSpacing/>
    </w:pPr>
  </w:style>
  <w:style w:type="paragraph" w:styleId="Textbubliny">
    <w:name w:val="Balloon Text"/>
    <w:basedOn w:val="Normln"/>
    <w:link w:val="TextbublinyChar"/>
    <w:uiPriority w:val="99"/>
    <w:semiHidden/>
    <w:unhideWhenUsed/>
    <w:rsid w:val="009139AF"/>
    <w:rPr>
      <w:rFonts w:cs="Arial"/>
      <w:szCs w:val="18"/>
    </w:rPr>
  </w:style>
  <w:style w:type="character" w:customStyle="1" w:styleId="TextbublinyChar">
    <w:name w:val="Text bubliny Char"/>
    <w:basedOn w:val="Standardnpsmoodstavce"/>
    <w:link w:val="Textbubliny"/>
    <w:uiPriority w:val="99"/>
    <w:semiHidden/>
    <w:rsid w:val="009139AF"/>
    <w:rPr>
      <w:rFonts w:ascii="Arial" w:eastAsia="Times New Roman" w:hAnsi="Arial" w:cs="Arial"/>
      <w:sz w:val="18"/>
      <w:szCs w:val="18"/>
      <w:lang w:eastAsia="cs-CZ"/>
    </w:rPr>
  </w:style>
  <w:style w:type="character" w:styleId="Odkaznakoment">
    <w:name w:val="annotation reference"/>
    <w:basedOn w:val="Standardnpsmoodstavce"/>
    <w:uiPriority w:val="99"/>
    <w:semiHidden/>
    <w:unhideWhenUsed/>
    <w:rsid w:val="00EA5747"/>
    <w:rPr>
      <w:sz w:val="16"/>
      <w:szCs w:val="16"/>
    </w:rPr>
  </w:style>
  <w:style w:type="paragraph" w:styleId="Textkomente">
    <w:name w:val="annotation text"/>
    <w:basedOn w:val="Normln"/>
    <w:link w:val="TextkomenteChar"/>
    <w:uiPriority w:val="99"/>
    <w:unhideWhenUsed/>
    <w:rsid w:val="00EA5747"/>
    <w:rPr>
      <w:sz w:val="20"/>
    </w:rPr>
  </w:style>
  <w:style w:type="character" w:customStyle="1" w:styleId="TextkomenteChar">
    <w:name w:val="Text komentáře Char"/>
    <w:basedOn w:val="Standardnpsmoodstavce"/>
    <w:link w:val="Textkomente"/>
    <w:uiPriority w:val="99"/>
    <w:rsid w:val="00EA574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A5747"/>
    <w:rPr>
      <w:b/>
      <w:bCs/>
    </w:rPr>
  </w:style>
  <w:style w:type="character" w:customStyle="1" w:styleId="PedmtkomenteChar">
    <w:name w:val="Předmět komentáře Char"/>
    <w:basedOn w:val="TextkomenteChar"/>
    <w:link w:val="Pedmtkomente"/>
    <w:uiPriority w:val="99"/>
    <w:semiHidden/>
    <w:rsid w:val="00EA5747"/>
    <w:rPr>
      <w:rFonts w:ascii="Arial" w:eastAsia="Times New Roman" w:hAnsi="Arial" w:cs="Times New Roman"/>
      <w:b/>
      <w:bCs/>
      <w:sz w:val="20"/>
      <w:szCs w:val="20"/>
      <w:lang w:eastAsia="cs-CZ"/>
    </w:rPr>
  </w:style>
  <w:style w:type="paragraph" w:styleId="Revize">
    <w:name w:val="Revision"/>
    <w:hidden/>
    <w:uiPriority w:val="99"/>
    <w:semiHidden/>
    <w:rsid w:val="0046651A"/>
    <w:pPr>
      <w:spacing w:after="0" w:line="240" w:lineRule="auto"/>
    </w:pPr>
    <w:rPr>
      <w:rFonts w:ascii="Arial" w:eastAsia="Times New Roman" w:hAnsi="Arial" w:cs="Times New Roman"/>
      <w:sz w:val="18"/>
      <w:szCs w:val="20"/>
      <w:lang w:eastAsia="cs-CZ"/>
    </w:rPr>
  </w:style>
  <w:style w:type="character" w:styleId="Siln">
    <w:name w:val="Strong"/>
    <w:basedOn w:val="Standardnpsmoodstavce"/>
    <w:uiPriority w:val="22"/>
    <w:qFormat/>
    <w:rsid w:val="00C12AFA"/>
    <w:rPr>
      <w:b/>
      <w:bCs/>
    </w:rPr>
  </w:style>
  <w:style w:type="paragraph" w:customStyle="1" w:styleId="THnorm">
    <w:name w:val="TH norm"/>
    <w:basedOn w:val="Normln"/>
    <w:rsid w:val="006A7BEA"/>
    <w:pPr>
      <w:tabs>
        <w:tab w:val="left" w:pos="0"/>
      </w:tabs>
      <w:overflowPunct/>
      <w:autoSpaceDE/>
      <w:autoSpaceDN/>
      <w:adjustRightInd/>
      <w:spacing w:after="120"/>
      <w:ind w:firstLine="709"/>
      <w:textAlignment w:val="auto"/>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9968AC"/>
    <w:rPr>
      <w:color w:val="605E5C"/>
      <w:shd w:val="clear" w:color="auto" w:fill="E1DFDD"/>
    </w:rPr>
  </w:style>
  <w:style w:type="character" w:styleId="Sledovanodkaz">
    <w:name w:val="FollowedHyperlink"/>
    <w:basedOn w:val="Standardnpsmoodstavce"/>
    <w:uiPriority w:val="99"/>
    <w:semiHidden/>
    <w:unhideWhenUsed/>
    <w:rsid w:val="000444EA"/>
    <w:rPr>
      <w:color w:val="954F72" w:themeColor="followedHyperlink"/>
      <w:u w:val="single"/>
    </w:rPr>
  </w:style>
  <w:style w:type="character" w:customStyle="1" w:styleId="Nevyeenzmnka2">
    <w:name w:val="Nevyřešená zmínka2"/>
    <w:basedOn w:val="Standardnpsmoodstavce"/>
    <w:uiPriority w:val="99"/>
    <w:semiHidden/>
    <w:unhideWhenUsed/>
    <w:rsid w:val="005A0ACF"/>
    <w:rPr>
      <w:color w:val="605E5C"/>
      <w:shd w:val="clear" w:color="auto" w:fill="E1DFDD"/>
    </w:rPr>
  </w:style>
  <w:style w:type="character" w:styleId="Nevyeenzmnka">
    <w:name w:val="Unresolved Mention"/>
    <w:basedOn w:val="Standardnpsmoodstavce"/>
    <w:uiPriority w:val="99"/>
    <w:semiHidden/>
    <w:unhideWhenUsed/>
    <w:rsid w:val="00BA19E0"/>
    <w:rPr>
      <w:color w:val="605E5C"/>
      <w:shd w:val="clear" w:color="auto" w:fill="E1DFDD"/>
    </w:rPr>
  </w:style>
  <w:style w:type="table" w:styleId="Mkatabulky">
    <w:name w:val="Table Grid"/>
    <w:basedOn w:val="Normlntabulka"/>
    <w:uiPriority w:val="39"/>
    <w:rsid w:val="0001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F7BDA"/>
    <w:rPr>
      <w:sz w:val="20"/>
    </w:rPr>
  </w:style>
  <w:style w:type="character" w:customStyle="1" w:styleId="TextpoznpodarouChar">
    <w:name w:val="Text pozn. pod čarou Char"/>
    <w:basedOn w:val="Standardnpsmoodstavce"/>
    <w:link w:val="Textpoznpodarou"/>
    <w:uiPriority w:val="99"/>
    <w:semiHidden/>
    <w:rsid w:val="006F7BDA"/>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6F7BDA"/>
    <w:rPr>
      <w:vertAlign w:val="superscript"/>
    </w:rPr>
  </w:style>
  <w:style w:type="paragraph" w:customStyle="1" w:styleId="xmsonormal">
    <w:name w:val="xmsonormal"/>
    <w:basedOn w:val="Normln"/>
    <w:rsid w:val="00051022"/>
    <w:pPr>
      <w:overflowPunct/>
      <w:autoSpaceDE/>
      <w:autoSpaceDN/>
      <w:adjustRightInd/>
      <w:spacing w:before="100" w:beforeAutospacing="1" w:after="100" w:afterAutospacing="1"/>
      <w:jc w:val="left"/>
      <w:textAlignment w:val="auto"/>
    </w:pPr>
    <w:rPr>
      <w:rFonts w:ascii="Calibri" w:eastAsia="Calibri" w:hAnsi="Calibri" w:cs="Calibri"/>
      <w:sz w:val="22"/>
      <w:szCs w:val="22"/>
    </w:rPr>
  </w:style>
  <w:style w:type="character" w:customStyle="1" w:styleId="xpk-token">
    <w:name w:val="xpk-token"/>
    <w:basedOn w:val="Standardnpsmoodstavce"/>
    <w:rsid w:val="00051022"/>
  </w:style>
  <w:style w:type="paragraph" w:customStyle="1" w:styleId="xmsonormal0">
    <w:name w:val="x_msonormal"/>
    <w:basedOn w:val="Normln"/>
    <w:rsid w:val="00162D23"/>
    <w:pPr>
      <w:overflowPunct/>
      <w:autoSpaceDE/>
      <w:autoSpaceDN/>
      <w:adjustRightInd/>
      <w:jc w:val="left"/>
      <w:textAlignment w:val="auto"/>
    </w:pPr>
    <w:rPr>
      <w:rFonts w:ascii="Calibri" w:eastAsiaTheme="minorHAnsi" w:hAnsi="Calibri" w:cs="Calibri"/>
      <w:sz w:val="22"/>
      <w:szCs w:val="22"/>
    </w:rPr>
  </w:style>
  <w:style w:type="paragraph" w:styleId="Textvysvtlivek">
    <w:name w:val="endnote text"/>
    <w:basedOn w:val="Normln"/>
    <w:link w:val="TextvysvtlivekChar"/>
    <w:uiPriority w:val="99"/>
    <w:semiHidden/>
    <w:unhideWhenUsed/>
    <w:rsid w:val="00AA4A27"/>
    <w:rPr>
      <w:sz w:val="20"/>
    </w:rPr>
  </w:style>
  <w:style w:type="character" w:customStyle="1" w:styleId="TextvysvtlivekChar">
    <w:name w:val="Text vysvětlivek Char"/>
    <w:basedOn w:val="Standardnpsmoodstavce"/>
    <w:link w:val="Textvysvtlivek"/>
    <w:uiPriority w:val="99"/>
    <w:semiHidden/>
    <w:rsid w:val="00AA4A27"/>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AA4A27"/>
    <w:rPr>
      <w:vertAlign w:val="superscript"/>
    </w:rPr>
  </w:style>
  <w:style w:type="paragraph" w:customStyle="1" w:styleId="CBANadpisvTABULCE">
    <w:name w:val="CBA Nadpis v TABULCE"/>
    <w:basedOn w:val="Normln"/>
    <w:qFormat/>
    <w:rsid w:val="0028530F"/>
    <w:pPr>
      <w:spacing w:before="120" w:after="120"/>
      <w:jc w:val="left"/>
    </w:pPr>
    <w:rPr>
      <w:b/>
      <w:bCs/>
      <w:color w:val="13576B"/>
    </w:rPr>
  </w:style>
  <w:style w:type="paragraph" w:customStyle="1" w:styleId="CBAodstavecvTABULCE">
    <w:name w:val="CBA odstavec v TABULCE"/>
    <w:basedOn w:val="Normln"/>
    <w:qFormat/>
    <w:rsid w:val="0028530F"/>
    <w:pPr>
      <w:spacing w:before="120" w:after="120"/>
      <w:jc w:val="left"/>
    </w:pPr>
    <w:rPr>
      <w:color w:val="13576B"/>
    </w:rPr>
  </w:style>
  <w:style w:type="paragraph" w:styleId="Prosttext">
    <w:name w:val="Plain Text"/>
    <w:basedOn w:val="Normln"/>
    <w:link w:val="ProsttextChar"/>
    <w:uiPriority w:val="99"/>
    <w:semiHidden/>
    <w:unhideWhenUsed/>
    <w:rsid w:val="001177C9"/>
    <w:rPr>
      <w:rFonts w:ascii="Consolas" w:hAnsi="Consolas"/>
      <w:sz w:val="21"/>
      <w:szCs w:val="21"/>
    </w:rPr>
  </w:style>
  <w:style w:type="character" w:customStyle="1" w:styleId="ProsttextChar">
    <w:name w:val="Prostý text Char"/>
    <w:basedOn w:val="Standardnpsmoodstavce"/>
    <w:link w:val="Prosttext"/>
    <w:uiPriority w:val="99"/>
    <w:semiHidden/>
    <w:rsid w:val="001177C9"/>
    <w:rPr>
      <w:rFonts w:ascii="Consolas" w:eastAsia="Times New Roman" w:hAnsi="Consolas" w:cs="Times New Roman"/>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326">
      <w:bodyDiv w:val="1"/>
      <w:marLeft w:val="0"/>
      <w:marRight w:val="0"/>
      <w:marTop w:val="0"/>
      <w:marBottom w:val="0"/>
      <w:divBdr>
        <w:top w:val="none" w:sz="0" w:space="0" w:color="auto"/>
        <w:left w:val="none" w:sz="0" w:space="0" w:color="auto"/>
        <w:bottom w:val="none" w:sz="0" w:space="0" w:color="auto"/>
        <w:right w:val="none" w:sz="0" w:space="0" w:color="auto"/>
      </w:divBdr>
    </w:div>
    <w:div w:id="5329771">
      <w:bodyDiv w:val="1"/>
      <w:marLeft w:val="0"/>
      <w:marRight w:val="0"/>
      <w:marTop w:val="0"/>
      <w:marBottom w:val="0"/>
      <w:divBdr>
        <w:top w:val="none" w:sz="0" w:space="0" w:color="auto"/>
        <w:left w:val="none" w:sz="0" w:space="0" w:color="auto"/>
        <w:bottom w:val="none" w:sz="0" w:space="0" w:color="auto"/>
        <w:right w:val="none" w:sz="0" w:space="0" w:color="auto"/>
      </w:divBdr>
      <w:divsChild>
        <w:div w:id="655306342">
          <w:marLeft w:val="360"/>
          <w:marRight w:val="0"/>
          <w:marTop w:val="200"/>
          <w:marBottom w:val="0"/>
          <w:divBdr>
            <w:top w:val="none" w:sz="0" w:space="0" w:color="auto"/>
            <w:left w:val="none" w:sz="0" w:space="0" w:color="auto"/>
            <w:bottom w:val="none" w:sz="0" w:space="0" w:color="auto"/>
            <w:right w:val="none" w:sz="0" w:space="0" w:color="auto"/>
          </w:divBdr>
        </w:div>
        <w:div w:id="783503361">
          <w:marLeft w:val="360"/>
          <w:marRight w:val="0"/>
          <w:marTop w:val="200"/>
          <w:marBottom w:val="0"/>
          <w:divBdr>
            <w:top w:val="none" w:sz="0" w:space="0" w:color="auto"/>
            <w:left w:val="none" w:sz="0" w:space="0" w:color="auto"/>
            <w:bottom w:val="none" w:sz="0" w:space="0" w:color="auto"/>
            <w:right w:val="none" w:sz="0" w:space="0" w:color="auto"/>
          </w:divBdr>
        </w:div>
        <w:div w:id="987126633">
          <w:marLeft w:val="360"/>
          <w:marRight w:val="0"/>
          <w:marTop w:val="200"/>
          <w:marBottom w:val="0"/>
          <w:divBdr>
            <w:top w:val="none" w:sz="0" w:space="0" w:color="auto"/>
            <w:left w:val="none" w:sz="0" w:space="0" w:color="auto"/>
            <w:bottom w:val="none" w:sz="0" w:space="0" w:color="auto"/>
            <w:right w:val="none" w:sz="0" w:space="0" w:color="auto"/>
          </w:divBdr>
        </w:div>
      </w:divsChild>
    </w:div>
    <w:div w:id="8140468">
      <w:bodyDiv w:val="1"/>
      <w:marLeft w:val="0"/>
      <w:marRight w:val="0"/>
      <w:marTop w:val="0"/>
      <w:marBottom w:val="0"/>
      <w:divBdr>
        <w:top w:val="none" w:sz="0" w:space="0" w:color="auto"/>
        <w:left w:val="none" w:sz="0" w:space="0" w:color="auto"/>
        <w:bottom w:val="none" w:sz="0" w:space="0" w:color="auto"/>
        <w:right w:val="none" w:sz="0" w:space="0" w:color="auto"/>
      </w:divBdr>
    </w:div>
    <w:div w:id="10764336">
      <w:bodyDiv w:val="1"/>
      <w:marLeft w:val="0"/>
      <w:marRight w:val="0"/>
      <w:marTop w:val="0"/>
      <w:marBottom w:val="0"/>
      <w:divBdr>
        <w:top w:val="none" w:sz="0" w:space="0" w:color="auto"/>
        <w:left w:val="none" w:sz="0" w:space="0" w:color="auto"/>
        <w:bottom w:val="none" w:sz="0" w:space="0" w:color="auto"/>
        <w:right w:val="none" w:sz="0" w:space="0" w:color="auto"/>
      </w:divBdr>
    </w:div>
    <w:div w:id="54865042">
      <w:bodyDiv w:val="1"/>
      <w:marLeft w:val="0"/>
      <w:marRight w:val="0"/>
      <w:marTop w:val="0"/>
      <w:marBottom w:val="0"/>
      <w:divBdr>
        <w:top w:val="none" w:sz="0" w:space="0" w:color="auto"/>
        <w:left w:val="none" w:sz="0" w:space="0" w:color="auto"/>
        <w:bottom w:val="none" w:sz="0" w:space="0" w:color="auto"/>
        <w:right w:val="none" w:sz="0" w:space="0" w:color="auto"/>
      </w:divBdr>
    </w:div>
    <w:div w:id="65881925">
      <w:bodyDiv w:val="1"/>
      <w:marLeft w:val="0"/>
      <w:marRight w:val="0"/>
      <w:marTop w:val="0"/>
      <w:marBottom w:val="0"/>
      <w:divBdr>
        <w:top w:val="none" w:sz="0" w:space="0" w:color="auto"/>
        <w:left w:val="none" w:sz="0" w:space="0" w:color="auto"/>
        <w:bottom w:val="none" w:sz="0" w:space="0" w:color="auto"/>
        <w:right w:val="none" w:sz="0" w:space="0" w:color="auto"/>
      </w:divBdr>
    </w:div>
    <w:div w:id="66729864">
      <w:bodyDiv w:val="1"/>
      <w:marLeft w:val="0"/>
      <w:marRight w:val="0"/>
      <w:marTop w:val="0"/>
      <w:marBottom w:val="0"/>
      <w:divBdr>
        <w:top w:val="none" w:sz="0" w:space="0" w:color="auto"/>
        <w:left w:val="none" w:sz="0" w:space="0" w:color="auto"/>
        <w:bottom w:val="none" w:sz="0" w:space="0" w:color="auto"/>
        <w:right w:val="none" w:sz="0" w:space="0" w:color="auto"/>
      </w:divBdr>
    </w:div>
    <w:div w:id="75367933">
      <w:bodyDiv w:val="1"/>
      <w:marLeft w:val="0"/>
      <w:marRight w:val="0"/>
      <w:marTop w:val="0"/>
      <w:marBottom w:val="0"/>
      <w:divBdr>
        <w:top w:val="none" w:sz="0" w:space="0" w:color="auto"/>
        <w:left w:val="none" w:sz="0" w:space="0" w:color="auto"/>
        <w:bottom w:val="none" w:sz="0" w:space="0" w:color="auto"/>
        <w:right w:val="none" w:sz="0" w:space="0" w:color="auto"/>
      </w:divBdr>
    </w:div>
    <w:div w:id="97651239">
      <w:bodyDiv w:val="1"/>
      <w:marLeft w:val="0"/>
      <w:marRight w:val="0"/>
      <w:marTop w:val="0"/>
      <w:marBottom w:val="0"/>
      <w:divBdr>
        <w:top w:val="none" w:sz="0" w:space="0" w:color="auto"/>
        <w:left w:val="none" w:sz="0" w:space="0" w:color="auto"/>
        <w:bottom w:val="none" w:sz="0" w:space="0" w:color="auto"/>
        <w:right w:val="none" w:sz="0" w:space="0" w:color="auto"/>
      </w:divBdr>
    </w:div>
    <w:div w:id="104077534">
      <w:bodyDiv w:val="1"/>
      <w:marLeft w:val="0"/>
      <w:marRight w:val="0"/>
      <w:marTop w:val="0"/>
      <w:marBottom w:val="0"/>
      <w:divBdr>
        <w:top w:val="none" w:sz="0" w:space="0" w:color="auto"/>
        <w:left w:val="none" w:sz="0" w:space="0" w:color="auto"/>
        <w:bottom w:val="none" w:sz="0" w:space="0" w:color="auto"/>
        <w:right w:val="none" w:sz="0" w:space="0" w:color="auto"/>
      </w:divBdr>
    </w:div>
    <w:div w:id="105078644">
      <w:bodyDiv w:val="1"/>
      <w:marLeft w:val="0"/>
      <w:marRight w:val="0"/>
      <w:marTop w:val="0"/>
      <w:marBottom w:val="0"/>
      <w:divBdr>
        <w:top w:val="none" w:sz="0" w:space="0" w:color="auto"/>
        <w:left w:val="none" w:sz="0" w:space="0" w:color="auto"/>
        <w:bottom w:val="none" w:sz="0" w:space="0" w:color="auto"/>
        <w:right w:val="none" w:sz="0" w:space="0" w:color="auto"/>
      </w:divBdr>
    </w:div>
    <w:div w:id="132212633">
      <w:bodyDiv w:val="1"/>
      <w:marLeft w:val="0"/>
      <w:marRight w:val="0"/>
      <w:marTop w:val="0"/>
      <w:marBottom w:val="0"/>
      <w:divBdr>
        <w:top w:val="none" w:sz="0" w:space="0" w:color="auto"/>
        <w:left w:val="none" w:sz="0" w:space="0" w:color="auto"/>
        <w:bottom w:val="none" w:sz="0" w:space="0" w:color="auto"/>
        <w:right w:val="none" w:sz="0" w:space="0" w:color="auto"/>
      </w:divBdr>
    </w:div>
    <w:div w:id="144977189">
      <w:bodyDiv w:val="1"/>
      <w:marLeft w:val="0"/>
      <w:marRight w:val="0"/>
      <w:marTop w:val="0"/>
      <w:marBottom w:val="0"/>
      <w:divBdr>
        <w:top w:val="none" w:sz="0" w:space="0" w:color="auto"/>
        <w:left w:val="none" w:sz="0" w:space="0" w:color="auto"/>
        <w:bottom w:val="none" w:sz="0" w:space="0" w:color="auto"/>
        <w:right w:val="none" w:sz="0" w:space="0" w:color="auto"/>
      </w:divBdr>
    </w:div>
    <w:div w:id="156385367">
      <w:bodyDiv w:val="1"/>
      <w:marLeft w:val="0"/>
      <w:marRight w:val="0"/>
      <w:marTop w:val="0"/>
      <w:marBottom w:val="0"/>
      <w:divBdr>
        <w:top w:val="none" w:sz="0" w:space="0" w:color="auto"/>
        <w:left w:val="none" w:sz="0" w:space="0" w:color="auto"/>
        <w:bottom w:val="none" w:sz="0" w:space="0" w:color="auto"/>
        <w:right w:val="none" w:sz="0" w:space="0" w:color="auto"/>
      </w:divBdr>
    </w:div>
    <w:div w:id="158036286">
      <w:bodyDiv w:val="1"/>
      <w:marLeft w:val="0"/>
      <w:marRight w:val="0"/>
      <w:marTop w:val="0"/>
      <w:marBottom w:val="0"/>
      <w:divBdr>
        <w:top w:val="none" w:sz="0" w:space="0" w:color="auto"/>
        <w:left w:val="none" w:sz="0" w:space="0" w:color="auto"/>
        <w:bottom w:val="none" w:sz="0" w:space="0" w:color="auto"/>
        <w:right w:val="none" w:sz="0" w:space="0" w:color="auto"/>
      </w:divBdr>
    </w:div>
    <w:div w:id="165872005">
      <w:bodyDiv w:val="1"/>
      <w:marLeft w:val="0"/>
      <w:marRight w:val="0"/>
      <w:marTop w:val="0"/>
      <w:marBottom w:val="0"/>
      <w:divBdr>
        <w:top w:val="none" w:sz="0" w:space="0" w:color="auto"/>
        <w:left w:val="none" w:sz="0" w:space="0" w:color="auto"/>
        <w:bottom w:val="none" w:sz="0" w:space="0" w:color="auto"/>
        <w:right w:val="none" w:sz="0" w:space="0" w:color="auto"/>
      </w:divBdr>
      <w:divsChild>
        <w:div w:id="570114465">
          <w:marLeft w:val="360"/>
          <w:marRight w:val="0"/>
          <w:marTop w:val="200"/>
          <w:marBottom w:val="0"/>
          <w:divBdr>
            <w:top w:val="none" w:sz="0" w:space="0" w:color="auto"/>
            <w:left w:val="none" w:sz="0" w:space="0" w:color="auto"/>
            <w:bottom w:val="none" w:sz="0" w:space="0" w:color="auto"/>
            <w:right w:val="none" w:sz="0" w:space="0" w:color="auto"/>
          </w:divBdr>
        </w:div>
        <w:div w:id="1910266459">
          <w:marLeft w:val="360"/>
          <w:marRight w:val="0"/>
          <w:marTop w:val="200"/>
          <w:marBottom w:val="0"/>
          <w:divBdr>
            <w:top w:val="none" w:sz="0" w:space="0" w:color="auto"/>
            <w:left w:val="none" w:sz="0" w:space="0" w:color="auto"/>
            <w:bottom w:val="none" w:sz="0" w:space="0" w:color="auto"/>
            <w:right w:val="none" w:sz="0" w:space="0" w:color="auto"/>
          </w:divBdr>
        </w:div>
        <w:div w:id="178393963">
          <w:marLeft w:val="360"/>
          <w:marRight w:val="0"/>
          <w:marTop w:val="200"/>
          <w:marBottom w:val="0"/>
          <w:divBdr>
            <w:top w:val="none" w:sz="0" w:space="0" w:color="auto"/>
            <w:left w:val="none" w:sz="0" w:space="0" w:color="auto"/>
            <w:bottom w:val="none" w:sz="0" w:space="0" w:color="auto"/>
            <w:right w:val="none" w:sz="0" w:space="0" w:color="auto"/>
          </w:divBdr>
        </w:div>
      </w:divsChild>
    </w:div>
    <w:div w:id="175731695">
      <w:bodyDiv w:val="1"/>
      <w:marLeft w:val="0"/>
      <w:marRight w:val="0"/>
      <w:marTop w:val="0"/>
      <w:marBottom w:val="0"/>
      <w:divBdr>
        <w:top w:val="none" w:sz="0" w:space="0" w:color="auto"/>
        <w:left w:val="none" w:sz="0" w:space="0" w:color="auto"/>
        <w:bottom w:val="none" w:sz="0" w:space="0" w:color="auto"/>
        <w:right w:val="none" w:sz="0" w:space="0" w:color="auto"/>
      </w:divBdr>
      <w:divsChild>
        <w:div w:id="1685135723">
          <w:marLeft w:val="288"/>
          <w:marRight w:val="0"/>
          <w:marTop w:val="360"/>
          <w:marBottom w:val="0"/>
          <w:divBdr>
            <w:top w:val="none" w:sz="0" w:space="0" w:color="auto"/>
            <w:left w:val="none" w:sz="0" w:space="0" w:color="auto"/>
            <w:bottom w:val="none" w:sz="0" w:space="0" w:color="auto"/>
            <w:right w:val="none" w:sz="0" w:space="0" w:color="auto"/>
          </w:divBdr>
        </w:div>
      </w:divsChild>
    </w:div>
    <w:div w:id="180977078">
      <w:bodyDiv w:val="1"/>
      <w:marLeft w:val="0"/>
      <w:marRight w:val="0"/>
      <w:marTop w:val="0"/>
      <w:marBottom w:val="0"/>
      <w:divBdr>
        <w:top w:val="none" w:sz="0" w:space="0" w:color="auto"/>
        <w:left w:val="none" w:sz="0" w:space="0" w:color="auto"/>
        <w:bottom w:val="none" w:sz="0" w:space="0" w:color="auto"/>
        <w:right w:val="none" w:sz="0" w:space="0" w:color="auto"/>
      </w:divBdr>
    </w:div>
    <w:div w:id="184709785">
      <w:bodyDiv w:val="1"/>
      <w:marLeft w:val="0"/>
      <w:marRight w:val="0"/>
      <w:marTop w:val="0"/>
      <w:marBottom w:val="0"/>
      <w:divBdr>
        <w:top w:val="none" w:sz="0" w:space="0" w:color="auto"/>
        <w:left w:val="none" w:sz="0" w:space="0" w:color="auto"/>
        <w:bottom w:val="none" w:sz="0" w:space="0" w:color="auto"/>
        <w:right w:val="none" w:sz="0" w:space="0" w:color="auto"/>
      </w:divBdr>
    </w:div>
    <w:div w:id="211889271">
      <w:bodyDiv w:val="1"/>
      <w:marLeft w:val="0"/>
      <w:marRight w:val="0"/>
      <w:marTop w:val="0"/>
      <w:marBottom w:val="0"/>
      <w:divBdr>
        <w:top w:val="none" w:sz="0" w:space="0" w:color="auto"/>
        <w:left w:val="none" w:sz="0" w:space="0" w:color="auto"/>
        <w:bottom w:val="none" w:sz="0" w:space="0" w:color="auto"/>
        <w:right w:val="none" w:sz="0" w:space="0" w:color="auto"/>
      </w:divBdr>
    </w:div>
    <w:div w:id="212281255">
      <w:bodyDiv w:val="1"/>
      <w:marLeft w:val="0"/>
      <w:marRight w:val="0"/>
      <w:marTop w:val="0"/>
      <w:marBottom w:val="0"/>
      <w:divBdr>
        <w:top w:val="none" w:sz="0" w:space="0" w:color="auto"/>
        <w:left w:val="none" w:sz="0" w:space="0" w:color="auto"/>
        <w:bottom w:val="none" w:sz="0" w:space="0" w:color="auto"/>
        <w:right w:val="none" w:sz="0" w:space="0" w:color="auto"/>
      </w:divBdr>
    </w:div>
    <w:div w:id="212424732">
      <w:bodyDiv w:val="1"/>
      <w:marLeft w:val="0"/>
      <w:marRight w:val="0"/>
      <w:marTop w:val="0"/>
      <w:marBottom w:val="0"/>
      <w:divBdr>
        <w:top w:val="none" w:sz="0" w:space="0" w:color="auto"/>
        <w:left w:val="none" w:sz="0" w:space="0" w:color="auto"/>
        <w:bottom w:val="none" w:sz="0" w:space="0" w:color="auto"/>
        <w:right w:val="none" w:sz="0" w:space="0" w:color="auto"/>
      </w:divBdr>
    </w:div>
    <w:div w:id="213932845">
      <w:bodyDiv w:val="1"/>
      <w:marLeft w:val="0"/>
      <w:marRight w:val="0"/>
      <w:marTop w:val="0"/>
      <w:marBottom w:val="0"/>
      <w:divBdr>
        <w:top w:val="none" w:sz="0" w:space="0" w:color="auto"/>
        <w:left w:val="none" w:sz="0" w:space="0" w:color="auto"/>
        <w:bottom w:val="none" w:sz="0" w:space="0" w:color="auto"/>
        <w:right w:val="none" w:sz="0" w:space="0" w:color="auto"/>
      </w:divBdr>
      <w:divsChild>
        <w:div w:id="417947238">
          <w:marLeft w:val="288"/>
          <w:marRight w:val="0"/>
          <w:marTop w:val="360"/>
          <w:marBottom w:val="0"/>
          <w:divBdr>
            <w:top w:val="none" w:sz="0" w:space="0" w:color="auto"/>
            <w:left w:val="none" w:sz="0" w:space="0" w:color="auto"/>
            <w:bottom w:val="none" w:sz="0" w:space="0" w:color="auto"/>
            <w:right w:val="none" w:sz="0" w:space="0" w:color="auto"/>
          </w:divBdr>
        </w:div>
        <w:div w:id="1857307784">
          <w:marLeft w:val="1080"/>
          <w:marRight w:val="0"/>
          <w:marTop w:val="360"/>
          <w:marBottom w:val="50"/>
          <w:divBdr>
            <w:top w:val="none" w:sz="0" w:space="0" w:color="auto"/>
            <w:left w:val="none" w:sz="0" w:space="0" w:color="auto"/>
            <w:bottom w:val="none" w:sz="0" w:space="0" w:color="auto"/>
            <w:right w:val="none" w:sz="0" w:space="0" w:color="auto"/>
          </w:divBdr>
        </w:div>
        <w:div w:id="116265497">
          <w:marLeft w:val="1080"/>
          <w:marRight w:val="0"/>
          <w:marTop w:val="360"/>
          <w:marBottom w:val="50"/>
          <w:divBdr>
            <w:top w:val="none" w:sz="0" w:space="0" w:color="auto"/>
            <w:left w:val="none" w:sz="0" w:space="0" w:color="auto"/>
            <w:bottom w:val="none" w:sz="0" w:space="0" w:color="auto"/>
            <w:right w:val="none" w:sz="0" w:space="0" w:color="auto"/>
          </w:divBdr>
        </w:div>
        <w:div w:id="1898468414">
          <w:marLeft w:val="288"/>
          <w:marRight w:val="0"/>
          <w:marTop w:val="360"/>
          <w:marBottom w:val="0"/>
          <w:divBdr>
            <w:top w:val="none" w:sz="0" w:space="0" w:color="auto"/>
            <w:left w:val="none" w:sz="0" w:space="0" w:color="auto"/>
            <w:bottom w:val="none" w:sz="0" w:space="0" w:color="auto"/>
            <w:right w:val="none" w:sz="0" w:space="0" w:color="auto"/>
          </w:divBdr>
        </w:div>
        <w:div w:id="1770351847">
          <w:marLeft w:val="288"/>
          <w:marRight w:val="0"/>
          <w:marTop w:val="360"/>
          <w:marBottom w:val="0"/>
          <w:divBdr>
            <w:top w:val="none" w:sz="0" w:space="0" w:color="auto"/>
            <w:left w:val="none" w:sz="0" w:space="0" w:color="auto"/>
            <w:bottom w:val="none" w:sz="0" w:space="0" w:color="auto"/>
            <w:right w:val="none" w:sz="0" w:space="0" w:color="auto"/>
          </w:divBdr>
        </w:div>
        <w:div w:id="201289034">
          <w:marLeft w:val="288"/>
          <w:marRight w:val="0"/>
          <w:marTop w:val="360"/>
          <w:marBottom w:val="0"/>
          <w:divBdr>
            <w:top w:val="none" w:sz="0" w:space="0" w:color="auto"/>
            <w:left w:val="none" w:sz="0" w:space="0" w:color="auto"/>
            <w:bottom w:val="none" w:sz="0" w:space="0" w:color="auto"/>
            <w:right w:val="none" w:sz="0" w:space="0" w:color="auto"/>
          </w:divBdr>
        </w:div>
        <w:div w:id="784738889">
          <w:marLeft w:val="288"/>
          <w:marRight w:val="0"/>
          <w:marTop w:val="360"/>
          <w:marBottom w:val="0"/>
          <w:divBdr>
            <w:top w:val="none" w:sz="0" w:space="0" w:color="auto"/>
            <w:left w:val="none" w:sz="0" w:space="0" w:color="auto"/>
            <w:bottom w:val="none" w:sz="0" w:space="0" w:color="auto"/>
            <w:right w:val="none" w:sz="0" w:space="0" w:color="auto"/>
          </w:divBdr>
        </w:div>
        <w:div w:id="961959719">
          <w:marLeft w:val="288"/>
          <w:marRight w:val="0"/>
          <w:marTop w:val="360"/>
          <w:marBottom w:val="0"/>
          <w:divBdr>
            <w:top w:val="none" w:sz="0" w:space="0" w:color="auto"/>
            <w:left w:val="none" w:sz="0" w:space="0" w:color="auto"/>
            <w:bottom w:val="none" w:sz="0" w:space="0" w:color="auto"/>
            <w:right w:val="none" w:sz="0" w:space="0" w:color="auto"/>
          </w:divBdr>
        </w:div>
      </w:divsChild>
    </w:div>
    <w:div w:id="214389258">
      <w:bodyDiv w:val="1"/>
      <w:marLeft w:val="0"/>
      <w:marRight w:val="0"/>
      <w:marTop w:val="0"/>
      <w:marBottom w:val="0"/>
      <w:divBdr>
        <w:top w:val="none" w:sz="0" w:space="0" w:color="auto"/>
        <w:left w:val="none" w:sz="0" w:space="0" w:color="auto"/>
        <w:bottom w:val="none" w:sz="0" w:space="0" w:color="auto"/>
        <w:right w:val="none" w:sz="0" w:space="0" w:color="auto"/>
      </w:divBdr>
    </w:div>
    <w:div w:id="215168246">
      <w:bodyDiv w:val="1"/>
      <w:marLeft w:val="0"/>
      <w:marRight w:val="0"/>
      <w:marTop w:val="0"/>
      <w:marBottom w:val="0"/>
      <w:divBdr>
        <w:top w:val="none" w:sz="0" w:space="0" w:color="auto"/>
        <w:left w:val="none" w:sz="0" w:space="0" w:color="auto"/>
        <w:bottom w:val="none" w:sz="0" w:space="0" w:color="auto"/>
        <w:right w:val="none" w:sz="0" w:space="0" w:color="auto"/>
      </w:divBdr>
    </w:div>
    <w:div w:id="220482590">
      <w:bodyDiv w:val="1"/>
      <w:marLeft w:val="0"/>
      <w:marRight w:val="0"/>
      <w:marTop w:val="0"/>
      <w:marBottom w:val="0"/>
      <w:divBdr>
        <w:top w:val="none" w:sz="0" w:space="0" w:color="auto"/>
        <w:left w:val="none" w:sz="0" w:space="0" w:color="auto"/>
        <w:bottom w:val="none" w:sz="0" w:space="0" w:color="auto"/>
        <w:right w:val="none" w:sz="0" w:space="0" w:color="auto"/>
      </w:divBdr>
      <w:divsChild>
        <w:div w:id="1975969">
          <w:marLeft w:val="360"/>
          <w:marRight w:val="0"/>
          <w:marTop w:val="200"/>
          <w:marBottom w:val="0"/>
          <w:divBdr>
            <w:top w:val="none" w:sz="0" w:space="0" w:color="auto"/>
            <w:left w:val="none" w:sz="0" w:space="0" w:color="auto"/>
            <w:bottom w:val="none" w:sz="0" w:space="0" w:color="auto"/>
            <w:right w:val="none" w:sz="0" w:space="0" w:color="auto"/>
          </w:divBdr>
        </w:div>
      </w:divsChild>
    </w:div>
    <w:div w:id="223495743">
      <w:bodyDiv w:val="1"/>
      <w:marLeft w:val="0"/>
      <w:marRight w:val="0"/>
      <w:marTop w:val="0"/>
      <w:marBottom w:val="0"/>
      <w:divBdr>
        <w:top w:val="none" w:sz="0" w:space="0" w:color="auto"/>
        <w:left w:val="none" w:sz="0" w:space="0" w:color="auto"/>
        <w:bottom w:val="none" w:sz="0" w:space="0" w:color="auto"/>
        <w:right w:val="none" w:sz="0" w:space="0" w:color="auto"/>
      </w:divBdr>
    </w:div>
    <w:div w:id="231698303">
      <w:bodyDiv w:val="1"/>
      <w:marLeft w:val="0"/>
      <w:marRight w:val="0"/>
      <w:marTop w:val="0"/>
      <w:marBottom w:val="0"/>
      <w:divBdr>
        <w:top w:val="none" w:sz="0" w:space="0" w:color="auto"/>
        <w:left w:val="none" w:sz="0" w:space="0" w:color="auto"/>
        <w:bottom w:val="none" w:sz="0" w:space="0" w:color="auto"/>
        <w:right w:val="none" w:sz="0" w:space="0" w:color="auto"/>
      </w:divBdr>
    </w:div>
    <w:div w:id="236210548">
      <w:bodyDiv w:val="1"/>
      <w:marLeft w:val="0"/>
      <w:marRight w:val="0"/>
      <w:marTop w:val="0"/>
      <w:marBottom w:val="0"/>
      <w:divBdr>
        <w:top w:val="none" w:sz="0" w:space="0" w:color="auto"/>
        <w:left w:val="none" w:sz="0" w:space="0" w:color="auto"/>
        <w:bottom w:val="none" w:sz="0" w:space="0" w:color="auto"/>
        <w:right w:val="none" w:sz="0" w:space="0" w:color="auto"/>
      </w:divBdr>
    </w:div>
    <w:div w:id="253131029">
      <w:bodyDiv w:val="1"/>
      <w:marLeft w:val="0"/>
      <w:marRight w:val="0"/>
      <w:marTop w:val="0"/>
      <w:marBottom w:val="0"/>
      <w:divBdr>
        <w:top w:val="none" w:sz="0" w:space="0" w:color="auto"/>
        <w:left w:val="none" w:sz="0" w:space="0" w:color="auto"/>
        <w:bottom w:val="none" w:sz="0" w:space="0" w:color="auto"/>
        <w:right w:val="none" w:sz="0" w:space="0" w:color="auto"/>
      </w:divBdr>
    </w:div>
    <w:div w:id="294987942">
      <w:bodyDiv w:val="1"/>
      <w:marLeft w:val="0"/>
      <w:marRight w:val="0"/>
      <w:marTop w:val="0"/>
      <w:marBottom w:val="0"/>
      <w:divBdr>
        <w:top w:val="none" w:sz="0" w:space="0" w:color="auto"/>
        <w:left w:val="none" w:sz="0" w:space="0" w:color="auto"/>
        <w:bottom w:val="none" w:sz="0" w:space="0" w:color="auto"/>
        <w:right w:val="none" w:sz="0" w:space="0" w:color="auto"/>
      </w:divBdr>
    </w:div>
    <w:div w:id="304507614">
      <w:bodyDiv w:val="1"/>
      <w:marLeft w:val="0"/>
      <w:marRight w:val="0"/>
      <w:marTop w:val="0"/>
      <w:marBottom w:val="0"/>
      <w:divBdr>
        <w:top w:val="none" w:sz="0" w:space="0" w:color="auto"/>
        <w:left w:val="none" w:sz="0" w:space="0" w:color="auto"/>
        <w:bottom w:val="none" w:sz="0" w:space="0" w:color="auto"/>
        <w:right w:val="none" w:sz="0" w:space="0" w:color="auto"/>
      </w:divBdr>
    </w:div>
    <w:div w:id="313801545">
      <w:bodyDiv w:val="1"/>
      <w:marLeft w:val="0"/>
      <w:marRight w:val="0"/>
      <w:marTop w:val="0"/>
      <w:marBottom w:val="0"/>
      <w:divBdr>
        <w:top w:val="none" w:sz="0" w:space="0" w:color="auto"/>
        <w:left w:val="none" w:sz="0" w:space="0" w:color="auto"/>
        <w:bottom w:val="none" w:sz="0" w:space="0" w:color="auto"/>
        <w:right w:val="none" w:sz="0" w:space="0" w:color="auto"/>
      </w:divBdr>
    </w:div>
    <w:div w:id="331490063">
      <w:bodyDiv w:val="1"/>
      <w:marLeft w:val="0"/>
      <w:marRight w:val="0"/>
      <w:marTop w:val="0"/>
      <w:marBottom w:val="0"/>
      <w:divBdr>
        <w:top w:val="none" w:sz="0" w:space="0" w:color="auto"/>
        <w:left w:val="none" w:sz="0" w:space="0" w:color="auto"/>
        <w:bottom w:val="none" w:sz="0" w:space="0" w:color="auto"/>
        <w:right w:val="none" w:sz="0" w:space="0" w:color="auto"/>
      </w:divBdr>
    </w:div>
    <w:div w:id="334265626">
      <w:bodyDiv w:val="1"/>
      <w:marLeft w:val="0"/>
      <w:marRight w:val="0"/>
      <w:marTop w:val="0"/>
      <w:marBottom w:val="0"/>
      <w:divBdr>
        <w:top w:val="none" w:sz="0" w:space="0" w:color="auto"/>
        <w:left w:val="none" w:sz="0" w:space="0" w:color="auto"/>
        <w:bottom w:val="none" w:sz="0" w:space="0" w:color="auto"/>
        <w:right w:val="none" w:sz="0" w:space="0" w:color="auto"/>
      </w:divBdr>
    </w:div>
    <w:div w:id="343899673">
      <w:bodyDiv w:val="1"/>
      <w:marLeft w:val="0"/>
      <w:marRight w:val="0"/>
      <w:marTop w:val="0"/>
      <w:marBottom w:val="0"/>
      <w:divBdr>
        <w:top w:val="none" w:sz="0" w:space="0" w:color="auto"/>
        <w:left w:val="none" w:sz="0" w:space="0" w:color="auto"/>
        <w:bottom w:val="none" w:sz="0" w:space="0" w:color="auto"/>
        <w:right w:val="none" w:sz="0" w:space="0" w:color="auto"/>
      </w:divBdr>
    </w:div>
    <w:div w:id="358311346">
      <w:bodyDiv w:val="1"/>
      <w:marLeft w:val="0"/>
      <w:marRight w:val="0"/>
      <w:marTop w:val="0"/>
      <w:marBottom w:val="0"/>
      <w:divBdr>
        <w:top w:val="none" w:sz="0" w:space="0" w:color="auto"/>
        <w:left w:val="none" w:sz="0" w:space="0" w:color="auto"/>
        <w:bottom w:val="none" w:sz="0" w:space="0" w:color="auto"/>
        <w:right w:val="none" w:sz="0" w:space="0" w:color="auto"/>
      </w:divBdr>
    </w:div>
    <w:div w:id="372461916">
      <w:bodyDiv w:val="1"/>
      <w:marLeft w:val="0"/>
      <w:marRight w:val="0"/>
      <w:marTop w:val="0"/>
      <w:marBottom w:val="0"/>
      <w:divBdr>
        <w:top w:val="none" w:sz="0" w:space="0" w:color="auto"/>
        <w:left w:val="none" w:sz="0" w:space="0" w:color="auto"/>
        <w:bottom w:val="none" w:sz="0" w:space="0" w:color="auto"/>
        <w:right w:val="none" w:sz="0" w:space="0" w:color="auto"/>
      </w:divBdr>
    </w:div>
    <w:div w:id="376399311">
      <w:bodyDiv w:val="1"/>
      <w:marLeft w:val="0"/>
      <w:marRight w:val="0"/>
      <w:marTop w:val="0"/>
      <w:marBottom w:val="0"/>
      <w:divBdr>
        <w:top w:val="none" w:sz="0" w:space="0" w:color="auto"/>
        <w:left w:val="none" w:sz="0" w:space="0" w:color="auto"/>
        <w:bottom w:val="none" w:sz="0" w:space="0" w:color="auto"/>
        <w:right w:val="none" w:sz="0" w:space="0" w:color="auto"/>
      </w:divBdr>
    </w:div>
    <w:div w:id="383871093">
      <w:bodyDiv w:val="1"/>
      <w:marLeft w:val="0"/>
      <w:marRight w:val="0"/>
      <w:marTop w:val="0"/>
      <w:marBottom w:val="0"/>
      <w:divBdr>
        <w:top w:val="none" w:sz="0" w:space="0" w:color="auto"/>
        <w:left w:val="none" w:sz="0" w:space="0" w:color="auto"/>
        <w:bottom w:val="none" w:sz="0" w:space="0" w:color="auto"/>
        <w:right w:val="none" w:sz="0" w:space="0" w:color="auto"/>
      </w:divBdr>
    </w:div>
    <w:div w:id="386539390">
      <w:bodyDiv w:val="1"/>
      <w:marLeft w:val="0"/>
      <w:marRight w:val="0"/>
      <w:marTop w:val="0"/>
      <w:marBottom w:val="0"/>
      <w:divBdr>
        <w:top w:val="none" w:sz="0" w:space="0" w:color="auto"/>
        <w:left w:val="none" w:sz="0" w:space="0" w:color="auto"/>
        <w:bottom w:val="none" w:sz="0" w:space="0" w:color="auto"/>
        <w:right w:val="none" w:sz="0" w:space="0" w:color="auto"/>
      </w:divBdr>
    </w:div>
    <w:div w:id="408618435">
      <w:bodyDiv w:val="1"/>
      <w:marLeft w:val="0"/>
      <w:marRight w:val="0"/>
      <w:marTop w:val="0"/>
      <w:marBottom w:val="0"/>
      <w:divBdr>
        <w:top w:val="none" w:sz="0" w:space="0" w:color="auto"/>
        <w:left w:val="none" w:sz="0" w:space="0" w:color="auto"/>
        <w:bottom w:val="none" w:sz="0" w:space="0" w:color="auto"/>
        <w:right w:val="none" w:sz="0" w:space="0" w:color="auto"/>
      </w:divBdr>
    </w:div>
    <w:div w:id="411201801">
      <w:bodyDiv w:val="1"/>
      <w:marLeft w:val="0"/>
      <w:marRight w:val="0"/>
      <w:marTop w:val="0"/>
      <w:marBottom w:val="0"/>
      <w:divBdr>
        <w:top w:val="none" w:sz="0" w:space="0" w:color="auto"/>
        <w:left w:val="none" w:sz="0" w:space="0" w:color="auto"/>
        <w:bottom w:val="none" w:sz="0" w:space="0" w:color="auto"/>
        <w:right w:val="none" w:sz="0" w:space="0" w:color="auto"/>
      </w:divBdr>
    </w:div>
    <w:div w:id="411973544">
      <w:bodyDiv w:val="1"/>
      <w:marLeft w:val="0"/>
      <w:marRight w:val="0"/>
      <w:marTop w:val="0"/>
      <w:marBottom w:val="0"/>
      <w:divBdr>
        <w:top w:val="none" w:sz="0" w:space="0" w:color="auto"/>
        <w:left w:val="none" w:sz="0" w:space="0" w:color="auto"/>
        <w:bottom w:val="none" w:sz="0" w:space="0" w:color="auto"/>
        <w:right w:val="none" w:sz="0" w:space="0" w:color="auto"/>
      </w:divBdr>
    </w:div>
    <w:div w:id="420875207">
      <w:bodyDiv w:val="1"/>
      <w:marLeft w:val="0"/>
      <w:marRight w:val="0"/>
      <w:marTop w:val="0"/>
      <w:marBottom w:val="0"/>
      <w:divBdr>
        <w:top w:val="none" w:sz="0" w:space="0" w:color="auto"/>
        <w:left w:val="none" w:sz="0" w:space="0" w:color="auto"/>
        <w:bottom w:val="none" w:sz="0" w:space="0" w:color="auto"/>
        <w:right w:val="none" w:sz="0" w:space="0" w:color="auto"/>
      </w:divBdr>
    </w:div>
    <w:div w:id="421756657">
      <w:bodyDiv w:val="1"/>
      <w:marLeft w:val="0"/>
      <w:marRight w:val="0"/>
      <w:marTop w:val="0"/>
      <w:marBottom w:val="0"/>
      <w:divBdr>
        <w:top w:val="none" w:sz="0" w:space="0" w:color="auto"/>
        <w:left w:val="none" w:sz="0" w:space="0" w:color="auto"/>
        <w:bottom w:val="none" w:sz="0" w:space="0" w:color="auto"/>
        <w:right w:val="none" w:sz="0" w:space="0" w:color="auto"/>
      </w:divBdr>
    </w:div>
    <w:div w:id="426123723">
      <w:bodyDiv w:val="1"/>
      <w:marLeft w:val="0"/>
      <w:marRight w:val="0"/>
      <w:marTop w:val="0"/>
      <w:marBottom w:val="0"/>
      <w:divBdr>
        <w:top w:val="none" w:sz="0" w:space="0" w:color="auto"/>
        <w:left w:val="none" w:sz="0" w:space="0" w:color="auto"/>
        <w:bottom w:val="none" w:sz="0" w:space="0" w:color="auto"/>
        <w:right w:val="none" w:sz="0" w:space="0" w:color="auto"/>
      </w:divBdr>
    </w:div>
    <w:div w:id="430663453">
      <w:bodyDiv w:val="1"/>
      <w:marLeft w:val="0"/>
      <w:marRight w:val="0"/>
      <w:marTop w:val="0"/>
      <w:marBottom w:val="0"/>
      <w:divBdr>
        <w:top w:val="none" w:sz="0" w:space="0" w:color="auto"/>
        <w:left w:val="none" w:sz="0" w:space="0" w:color="auto"/>
        <w:bottom w:val="none" w:sz="0" w:space="0" w:color="auto"/>
        <w:right w:val="none" w:sz="0" w:space="0" w:color="auto"/>
      </w:divBdr>
    </w:div>
    <w:div w:id="443963842">
      <w:bodyDiv w:val="1"/>
      <w:marLeft w:val="0"/>
      <w:marRight w:val="0"/>
      <w:marTop w:val="0"/>
      <w:marBottom w:val="0"/>
      <w:divBdr>
        <w:top w:val="none" w:sz="0" w:space="0" w:color="auto"/>
        <w:left w:val="none" w:sz="0" w:space="0" w:color="auto"/>
        <w:bottom w:val="none" w:sz="0" w:space="0" w:color="auto"/>
        <w:right w:val="none" w:sz="0" w:space="0" w:color="auto"/>
      </w:divBdr>
    </w:div>
    <w:div w:id="448546075">
      <w:bodyDiv w:val="1"/>
      <w:marLeft w:val="0"/>
      <w:marRight w:val="0"/>
      <w:marTop w:val="0"/>
      <w:marBottom w:val="0"/>
      <w:divBdr>
        <w:top w:val="none" w:sz="0" w:space="0" w:color="auto"/>
        <w:left w:val="none" w:sz="0" w:space="0" w:color="auto"/>
        <w:bottom w:val="none" w:sz="0" w:space="0" w:color="auto"/>
        <w:right w:val="none" w:sz="0" w:space="0" w:color="auto"/>
      </w:divBdr>
    </w:div>
    <w:div w:id="507059065">
      <w:bodyDiv w:val="1"/>
      <w:marLeft w:val="0"/>
      <w:marRight w:val="0"/>
      <w:marTop w:val="0"/>
      <w:marBottom w:val="0"/>
      <w:divBdr>
        <w:top w:val="none" w:sz="0" w:space="0" w:color="auto"/>
        <w:left w:val="none" w:sz="0" w:space="0" w:color="auto"/>
        <w:bottom w:val="none" w:sz="0" w:space="0" w:color="auto"/>
        <w:right w:val="none" w:sz="0" w:space="0" w:color="auto"/>
      </w:divBdr>
    </w:div>
    <w:div w:id="512230630">
      <w:bodyDiv w:val="1"/>
      <w:marLeft w:val="0"/>
      <w:marRight w:val="0"/>
      <w:marTop w:val="0"/>
      <w:marBottom w:val="0"/>
      <w:divBdr>
        <w:top w:val="none" w:sz="0" w:space="0" w:color="auto"/>
        <w:left w:val="none" w:sz="0" w:space="0" w:color="auto"/>
        <w:bottom w:val="none" w:sz="0" w:space="0" w:color="auto"/>
        <w:right w:val="none" w:sz="0" w:space="0" w:color="auto"/>
      </w:divBdr>
    </w:div>
    <w:div w:id="513692315">
      <w:bodyDiv w:val="1"/>
      <w:marLeft w:val="0"/>
      <w:marRight w:val="0"/>
      <w:marTop w:val="0"/>
      <w:marBottom w:val="0"/>
      <w:divBdr>
        <w:top w:val="none" w:sz="0" w:space="0" w:color="auto"/>
        <w:left w:val="none" w:sz="0" w:space="0" w:color="auto"/>
        <w:bottom w:val="none" w:sz="0" w:space="0" w:color="auto"/>
        <w:right w:val="none" w:sz="0" w:space="0" w:color="auto"/>
      </w:divBdr>
    </w:div>
    <w:div w:id="530805065">
      <w:bodyDiv w:val="1"/>
      <w:marLeft w:val="0"/>
      <w:marRight w:val="0"/>
      <w:marTop w:val="0"/>
      <w:marBottom w:val="0"/>
      <w:divBdr>
        <w:top w:val="none" w:sz="0" w:space="0" w:color="auto"/>
        <w:left w:val="none" w:sz="0" w:space="0" w:color="auto"/>
        <w:bottom w:val="none" w:sz="0" w:space="0" w:color="auto"/>
        <w:right w:val="none" w:sz="0" w:space="0" w:color="auto"/>
      </w:divBdr>
    </w:div>
    <w:div w:id="534119866">
      <w:bodyDiv w:val="1"/>
      <w:marLeft w:val="0"/>
      <w:marRight w:val="0"/>
      <w:marTop w:val="0"/>
      <w:marBottom w:val="0"/>
      <w:divBdr>
        <w:top w:val="none" w:sz="0" w:space="0" w:color="auto"/>
        <w:left w:val="none" w:sz="0" w:space="0" w:color="auto"/>
        <w:bottom w:val="none" w:sz="0" w:space="0" w:color="auto"/>
        <w:right w:val="none" w:sz="0" w:space="0" w:color="auto"/>
      </w:divBdr>
    </w:div>
    <w:div w:id="541747342">
      <w:bodyDiv w:val="1"/>
      <w:marLeft w:val="0"/>
      <w:marRight w:val="0"/>
      <w:marTop w:val="0"/>
      <w:marBottom w:val="0"/>
      <w:divBdr>
        <w:top w:val="none" w:sz="0" w:space="0" w:color="auto"/>
        <w:left w:val="none" w:sz="0" w:space="0" w:color="auto"/>
        <w:bottom w:val="none" w:sz="0" w:space="0" w:color="auto"/>
        <w:right w:val="none" w:sz="0" w:space="0" w:color="auto"/>
      </w:divBdr>
    </w:div>
    <w:div w:id="547766773">
      <w:bodyDiv w:val="1"/>
      <w:marLeft w:val="0"/>
      <w:marRight w:val="0"/>
      <w:marTop w:val="0"/>
      <w:marBottom w:val="0"/>
      <w:divBdr>
        <w:top w:val="none" w:sz="0" w:space="0" w:color="auto"/>
        <w:left w:val="none" w:sz="0" w:space="0" w:color="auto"/>
        <w:bottom w:val="none" w:sz="0" w:space="0" w:color="auto"/>
        <w:right w:val="none" w:sz="0" w:space="0" w:color="auto"/>
      </w:divBdr>
    </w:div>
    <w:div w:id="558173341">
      <w:bodyDiv w:val="1"/>
      <w:marLeft w:val="0"/>
      <w:marRight w:val="0"/>
      <w:marTop w:val="0"/>
      <w:marBottom w:val="0"/>
      <w:divBdr>
        <w:top w:val="none" w:sz="0" w:space="0" w:color="auto"/>
        <w:left w:val="none" w:sz="0" w:space="0" w:color="auto"/>
        <w:bottom w:val="none" w:sz="0" w:space="0" w:color="auto"/>
        <w:right w:val="none" w:sz="0" w:space="0" w:color="auto"/>
      </w:divBdr>
    </w:div>
    <w:div w:id="566258281">
      <w:bodyDiv w:val="1"/>
      <w:marLeft w:val="0"/>
      <w:marRight w:val="0"/>
      <w:marTop w:val="0"/>
      <w:marBottom w:val="0"/>
      <w:divBdr>
        <w:top w:val="none" w:sz="0" w:space="0" w:color="auto"/>
        <w:left w:val="none" w:sz="0" w:space="0" w:color="auto"/>
        <w:bottom w:val="none" w:sz="0" w:space="0" w:color="auto"/>
        <w:right w:val="none" w:sz="0" w:space="0" w:color="auto"/>
      </w:divBdr>
    </w:div>
    <w:div w:id="569268724">
      <w:bodyDiv w:val="1"/>
      <w:marLeft w:val="0"/>
      <w:marRight w:val="0"/>
      <w:marTop w:val="0"/>
      <w:marBottom w:val="0"/>
      <w:divBdr>
        <w:top w:val="none" w:sz="0" w:space="0" w:color="auto"/>
        <w:left w:val="none" w:sz="0" w:space="0" w:color="auto"/>
        <w:bottom w:val="none" w:sz="0" w:space="0" w:color="auto"/>
        <w:right w:val="none" w:sz="0" w:space="0" w:color="auto"/>
      </w:divBdr>
    </w:div>
    <w:div w:id="596527678">
      <w:bodyDiv w:val="1"/>
      <w:marLeft w:val="0"/>
      <w:marRight w:val="0"/>
      <w:marTop w:val="0"/>
      <w:marBottom w:val="0"/>
      <w:divBdr>
        <w:top w:val="none" w:sz="0" w:space="0" w:color="auto"/>
        <w:left w:val="none" w:sz="0" w:space="0" w:color="auto"/>
        <w:bottom w:val="none" w:sz="0" w:space="0" w:color="auto"/>
        <w:right w:val="none" w:sz="0" w:space="0" w:color="auto"/>
      </w:divBdr>
    </w:div>
    <w:div w:id="615522263">
      <w:bodyDiv w:val="1"/>
      <w:marLeft w:val="0"/>
      <w:marRight w:val="0"/>
      <w:marTop w:val="0"/>
      <w:marBottom w:val="0"/>
      <w:divBdr>
        <w:top w:val="none" w:sz="0" w:space="0" w:color="auto"/>
        <w:left w:val="none" w:sz="0" w:space="0" w:color="auto"/>
        <w:bottom w:val="none" w:sz="0" w:space="0" w:color="auto"/>
        <w:right w:val="none" w:sz="0" w:space="0" w:color="auto"/>
      </w:divBdr>
    </w:div>
    <w:div w:id="620036621">
      <w:bodyDiv w:val="1"/>
      <w:marLeft w:val="0"/>
      <w:marRight w:val="0"/>
      <w:marTop w:val="0"/>
      <w:marBottom w:val="0"/>
      <w:divBdr>
        <w:top w:val="none" w:sz="0" w:space="0" w:color="auto"/>
        <w:left w:val="none" w:sz="0" w:space="0" w:color="auto"/>
        <w:bottom w:val="none" w:sz="0" w:space="0" w:color="auto"/>
        <w:right w:val="none" w:sz="0" w:space="0" w:color="auto"/>
      </w:divBdr>
    </w:div>
    <w:div w:id="624774902">
      <w:bodyDiv w:val="1"/>
      <w:marLeft w:val="0"/>
      <w:marRight w:val="0"/>
      <w:marTop w:val="0"/>
      <w:marBottom w:val="0"/>
      <w:divBdr>
        <w:top w:val="none" w:sz="0" w:space="0" w:color="auto"/>
        <w:left w:val="none" w:sz="0" w:space="0" w:color="auto"/>
        <w:bottom w:val="none" w:sz="0" w:space="0" w:color="auto"/>
        <w:right w:val="none" w:sz="0" w:space="0" w:color="auto"/>
      </w:divBdr>
    </w:div>
    <w:div w:id="630671323">
      <w:bodyDiv w:val="1"/>
      <w:marLeft w:val="0"/>
      <w:marRight w:val="0"/>
      <w:marTop w:val="0"/>
      <w:marBottom w:val="0"/>
      <w:divBdr>
        <w:top w:val="none" w:sz="0" w:space="0" w:color="auto"/>
        <w:left w:val="none" w:sz="0" w:space="0" w:color="auto"/>
        <w:bottom w:val="none" w:sz="0" w:space="0" w:color="auto"/>
        <w:right w:val="none" w:sz="0" w:space="0" w:color="auto"/>
      </w:divBdr>
    </w:div>
    <w:div w:id="664868437">
      <w:bodyDiv w:val="1"/>
      <w:marLeft w:val="0"/>
      <w:marRight w:val="0"/>
      <w:marTop w:val="0"/>
      <w:marBottom w:val="0"/>
      <w:divBdr>
        <w:top w:val="none" w:sz="0" w:space="0" w:color="auto"/>
        <w:left w:val="none" w:sz="0" w:space="0" w:color="auto"/>
        <w:bottom w:val="none" w:sz="0" w:space="0" w:color="auto"/>
        <w:right w:val="none" w:sz="0" w:space="0" w:color="auto"/>
      </w:divBdr>
    </w:div>
    <w:div w:id="704403528">
      <w:bodyDiv w:val="1"/>
      <w:marLeft w:val="0"/>
      <w:marRight w:val="0"/>
      <w:marTop w:val="0"/>
      <w:marBottom w:val="0"/>
      <w:divBdr>
        <w:top w:val="none" w:sz="0" w:space="0" w:color="auto"/>
        <w:left w:val="none" w:sz="0" w:space="0" w:color="auto"/>
        <w:bottom w:val="none" w:sz="0" w:space="0" w:color="auto"/>
        <w:right w:val="none" w:sz="0" w:space="0" w:color="auto"/>
      </w:divBdr>
    </w:div>
    <w:div w:id="739715590">
      <w:bodyDiv w:val="1"/>
      <w:marLeft w:val="0"/>
      <w:marRight w:val="0"/>
      <w:marTop w:val="0"/>
      <w:marBottom w:val="0"/>
      <w:divBdr>
        <w:top w:val="none" w:sz="0" w:space="0" w:color="auto"/>
        <w:left w:val="none" w:sz="0" w:space="0" w:color="auto"/>
        <w:bottom w:val="none" w:sz="0" w:space="0" w:color="auto"/>
        <w:right w:val="none" w:sz="0" w:space="0" w:color="auto"/>
      </w:divBdr>
    </w:div>
    <w:div w:id="746734854">
      <w:bodyDiv w:val="1"/>
      <w:marLeft w:val="0"/>
      <w:marRight w:val="0"/>
      <w:marTop w:val="0"/>
      <w:marBottom w:val="0"/>
      <w:divBdr>
        <w:top w:val="none" w:sz="0" w:space="0" w:color="auto"/>
        <w:left w:val="none" w:sz="0" w:space="0" w:color="auto"/>
        <w:bottom w:val="none" w:sz="0" w:space="0" w:color="auto"/>
        <w:right w:val="none" w:sz="0" w:space="0" w:color="auto"/>
      </w:divBdr>
      <w:divsChild>
        <w:div w:id="1120420196">
          <w:marLeft w:val="360"/>
          <w:marRight w:val="0"/>
          <w:marTop w:val="200"/>
          <w:marBottom w:val="0"/>
          <w:divBdr>
            <w:top w:val="none" w:sz="0" w:space="0" w:color="auto"/>
            <w:left w:val="none" w:sz="0" w:space="0" w:color="auto"/>
            <w:bottom w:val="none" w:sz="0" w:space="0" w:color="auto"/>
            <w:right w:val="none" w:sz="0" w:space="0" w:color="auto"/>
          </w:divBdr>
        </w:div>
      </w:divsChild>
    </w:div>
    <w:div w:id="759524415">
      <w:bodyDiv w:val="1"/>
      <w:marLeft w:val="0"/>
      <w:marRight w:val="0"/>
      <w:marTop w:val="0"/>
      <w:marBottom w:val="0"/>
      <w:divBdr>
        <w:top w:val="none" w:sz="0" w:space="0" w:color="auto"/>
        <w:left w:val="none" w:sz="0" w:space="0" w:color="auto"/>
        <w:bottom w:val="none" w:sz="0" w:space="0" w:color="auto"/>
        <w:right w:val="none" w:sz="0" w:space="0" w:color="auto"/>
      </w:divBdr>
    </w:div>
    <w:div w:id="779027833">
      <w:bodyDiv w:val="1"/>
      <w:marLeft w:val="0"/>
      <w:marRight w:val="0"/>
      <w:marTop w:val="0"/>
      <w:marBottom w:val="0"/>
      <w:divBdr>
        <w:top w:val="none" w:sz="0" w:space="0" w:color="auto"/>
        <w:left w:val="none" w:sz="0" w:space="0" w:color="auto"/>
        <w:bottom w:val="none" w:sz="0" w:space="0" w:color="auto"/>
        <w:right w:val="none" w:sz="0" w:space="0" w:color="auto"/>
      </w:divBdr>
    </w:div>
    <w:div w:id="783886223">
      <w:bodyDiv w:val="1"/>
      <w:marLeft w:val="0"/>
      <w:marRight w:val="0"/>
      <w:marTop w:val="0"/>
      <w:marBottom w:val="0"/>
      <w:divBdr>
        <w:top w:val="none" w:sz="0" w:space="0" w:color="auto"/>
        <w:left w:val="none" w:sz="0" w:space="0" w:color="auto"/>
        <w:bottom w:val="none" w:sz="0" w:space="0" w:color="auto"/>
        <w:right w:val="none" w:sz="0" w:space="0" w:color="auto"/>
      </w:divBdr>
    </w:div>
    <w:div w:id="801191573">
      <w:bodyDiv w:val="1"/>
      <w:marLeft w:val="0"/>
      <w:marRight w:val="0"/>
      <w:marTop w:val="0"/>
      <w:marBottom w:val="0"/>
      <w:divBdr>
        <w:top w:val="none" w:sz="0" w:space="0" w:color="auto"/>
        <w:left w:val="none" w:sz="0" w:space="0" w:color="auto"/>
        <w:bottom w:val="none" w:sz="0" w:space="0" w:color="auto"/>
        <w:right w:val="none" w:sz="0" w:space="0" w:color="auto"/>
      </w:divBdr>
    </w:div>
    <w:div w:id="806968104">
      <w:bodyDiv w:val="1"/>
      <w:marLeft w:val="0"/>
      <w:marRight w:val="0"/>
      <w:marTop w:val="0"/>
      <w:marBottom w:val="0"/>
      <w:divBdr>
        <w:top w:val="none" w:sz="0" w:space="0" w:color="auto"/>
        <w:left w:val="none" w:sz="0" w:space="0" w:color="auto"/>
        <w:bottom w:val="none" w:sz="0" w:space="0" w:color="auto"/>
        <w:right w:val="none" w:sz="0" w:space="0" w:color="auto"/>
      </w:divBdr>
    </w:div>
    <w:div w:id="816918479">
      <w:bodyDiv w:val="1"/>
      <w:marLeft w:val="0"/>
      <w:marRight w:val="0"/>
      <w:marTop w:val="0"/>
      <w:marBottom w:val="0"/>
      <w:divBdr>
        <w:top w:val="none" w:sz="0" w:space="0" w:color="auto"/>
        <w:left w:val="none" w:sz="0" w:space="0" w:color="auto"/>
        <w:bottom w:val="none" w:sz="0" w:space="0" w:color="auto"/>
        <w:right w:val="none" w:sz="0" w:space="0" w:color="auto"/>
      </w:divBdr>
    </w:div>
    <w:div w:id="817648807">
      <w:bodyDiv w:val="1"/>
      <w:marLeft w:val="0"/>
      <w:marRight w:val="0"/>
      <w:marTop w:val="0"/>
      <w:marBottom w:val="0"/>
      <w:divBdr>
        <w:top w:val="none" w:sz="0" w:space="0" w:color="auto"/>
        <w:left w:val="none" w:sz="0" w:space="0" w:color="auto"/>
        <w:bottom w:val="none" w:sz="0" w:space="0" w:color="auto"/>
        <w:right w:val="none" w:sz="0" w:space="0" w:color="auto"/>
      </w:divBdr>
    </w:div>
    <w:div w:id="822359253">
      <w:bodyDiv w:val="1"/>
      <w:marLeft w:val="0"/>
      <w:marRight w:val="0"/>
      <w:marTop w:val="0"/>
      <w:marBottom w:val="0"/>
      <w:divBdr>
        <w:top w:val="none" w:sz="0" w:space="0" w:color="auto"/>
        <w:left w:val="none" w:sz="0" w:space="0" w:color="auto"/>
        <w:bottom w:val="none" w:sz="0" w:space="0" w:color="auto"/>
        <w:right w:val="none" w:sz="0" w:space="0" w:color="auto"/>
      </w:divBdr>
    </w:div>
    <w:div w:id="832257858">
      <w:bodyDiv w:val="1"/>
      <w:marLeft w:val="0"/>
      <w:marRight w:val="0"/>
      <w:marTop w:val="0"/>
      <w:marBottom w:val="0"/>
      <w:divBdr>
        <w:top w:val="none" w:sz="0" w:space="0" w:color="auto"/>
        <w:left w:val="none" w:sz="0" w:space="0" w:color="auto"/>
        <w:bottom w:val="none" w:sz="0" w:space="0" w:color="auto"/>
        <w:right w:val="none" w:sz="0" w:space="0" w:color="auto"/>
      </w:divBdr>
    </w:div>
    <w:div w:id="832260493">
      <w:bodyDiv w:val="1"/>
      <w:marLeft w:val="0"/>
      <w:marRight w:val="0"/>
      <w:marTop w:val="0"/>
      <w:marBottom w:val="0"/>
      <w:divBdr>
        <w:top w:val="none" w:sz="0" w:space="0" w:color="auto"/>
        <w:left w:val="none" w:sz="0" w:space="0" w:color="auto"/>
        <w:bottom w:val="none" w:sz="0" w:space="0" w:color="auto"/>
        <w:right w:val="none" w:sz="0" w:space="0" w:color="auto"/>
      </w:divBdr>
    </w:div>
    <w:div w:id="860356969">
      <w:bodyDiv w:val="1"/>
      <w:marLeft w:val="0"/>
      <w:marRight w:val="0"/>
      <w:marTop w:val="0"/>
      <w:marBottom w:val="0"/>
      <w:divBdr>
        <w:top w:val="none" w:sz="0" w:space="0" w:color="auto"/>
        <w:left w:val="none" w:sz="0" w:space="0" w:color="auto"/>
        <w:bottom w:val="none" w:sz="0" w:space="0" w:color="auto"/>
        <w:right w:val="none" w:sz="0" w:space="0" w:color="auto"/>
      </w:divBdr>
    </w:div>
    <w:div w:id="881332576">
      <w:bodyDiv w:val="1"/>
      <w:marLeft w:val="0"/>
      <w:marRight w:val="0"/>
      <w:marTop w:val="0"/>
      <w:marBottom w:val="0"/>
      <w:divBdr>
        <w:top w:val="none" w:sz="0" w:space="0" w:color="auto"/>
        <w:left w:val="none" w:sz="0" w:space="0" w:color="auto"/>
        <w:bottom w:val="none" w:sz="0" w:space="0" w:color="auto"/>
        <w:right w:val="none" w:sz="0" w:space="0" w:color="auto"/>
      </w:divBdr>
    </w:div>
    <w:div w:id="912815054">
      <w:bodyDiv w:val="1"/>
      <w:marLeft w:val="0"/>
      <w:marRight w:val="0"/>
      <w:marTop w:val="0"/>
      <w:marBottom w:val="0"/>
      <w:divBdr>
        <w:top w:val="none" w:sz="0" w:space="0" w:color="auto"/>
        <w:left w:val="none" w:sz="0" w:space="0" w:color="auto"/>
        <w:bottom w:val="none" w:sz="0" w:space="0" w:color="auto"/>
        <w:right w:val="none" w:sz="0" w:space="0" w:color="auto"/>
      </w:divBdr>
    </w:div>
    <w:div w:id="943684580">
      <w:bodyDiv w:val="1"/>
      <w:marLeft w:val="0"/>
      <w:marRight w:val="0"/>
      <w:marTop w:val="0"/>
      <w:marBottom w:val="0"/>
      <w:divBdr>
        <w:top w:val="none" w:sz="0" w:space="0" w:color="auto"/>
        <w:left w:val="none" w:sz="0" w:space="0" w:color="auto"/>
        <w:bottom w:val="none" w:sz="0" w:space="0" w:color="auto"/>
        <w:right w:val="none" w:sz="0" w:space="0" w:color="auto"/>
      </w:divBdr>
    </w:div>
    <w:div w:id="944657113">
      <w:bodyDiv w:val="1"/>
      <w:marLeft w:val="0"/>
      <w:marRight w:val="0"/>
      <w:marTop w:val="0"/>
      <w:marBottom w:val="0"/>
      <w:divBdr>
        <w:top w:val="none" w:sz="0" w:space="0" w:color="auto"/>
        <w:left w:val="none" w:sz="0" w:space="0" w:color="auto"/>
        <w:bottom w:val="none" w:sz="0" w:space="0" w:color="auto"/>
        <w:right w:val="none" w:sz="0" w:space="0" w:color="auto"/>
      </w:divBdr>
      <w:divsChild>
        <w:div w:id="174616939">
          <w:marLeft w:val="360"/>
          <w:marRight w:val="0"/>
          <w:marTop w:val="200"/>
          <w:marBottom w:val="0"/>
          <w:divBdr>
            <w:top w:val="none" w:sz="0" w:space="0" w:color="auto"/>
            <w:left w:val="none" w:sz="0" w:space="0" w:color="auto"/>
            <w:bottom w:val="none" w:sz="0" w:space="0" w:color="auto"/>
            <w:right w:val="none" w:sz="0" w:space="0" w:color="auto"/>
          </w:divBdr>
        </w:div>
      </w:divsChild>
    </w:div>
    <w:div w:id="952442645">
      <w:bodyDiv w:val="1"/>
      <w:marLeft w:val="0"/>
      <w:marRight w:val="0"/>
      <w:marTop w:val="0"/>
      <w:marBottom w:val="0"/>
      <w:divBdr>
        <w:top w:val="none" w:sz="0" w:space="0" w:color="auto"/>
        <w:left w:val="none" w:sz="0" w:space="0" w:color="auto"/>
        <w:bottom w:val="none" w:sz="0" w:space="0" w:color="auto"/>
        <w:right w:val="none" w:sz="0" w:space="0" w:color="auto"/>
      </w:divBdr>
    </w:div>
    <w:div w:id="966008203">
      <w:bodyDiv w:val="1"/>
      <w:marLeft w:val="0"/>
      <w:marRight w:val="0"/>
      <w:marTop w:val="0"/>
      <w:marBottom w:val="0"/>
      <w:divBdr>
        <w:top w:val="none" w:sz="0" w:space="0" w:color="auto"/>
        <w:left w:val="none" w:sz="0" w:space="0" w:color="auto"/>
        <w:bottom w:val="none" w:sz="0" w:space="0" w:color="auto"/>
        <w:right w:val="none" w:sz="0" w:space="0" w:color="auto"/>
      </w:divBdr>
    </w:div>
    <w:div w:id="968975400">
      <w:bodyDiv w:val="1"/>
      <w:marLeft w:val="0"/>
      <w:marRight w:val="0"/>
      <w:marTop w:val="0"/>
      <w:marBottom w:val="0"/>
      <w:divBdr>
        <w:top w:val="none" w:sz="0" w:space="0" w:color="auto"/>
        <w:left w:val="none" w:sz="0" w:space="0" w:color="auto"/>
        <w:bottom w:val="none" w:sz="0" w:space="0" w:color="auto"/>
        <w:right w:val="none" w:sz="0" w:space="0" w:color="auto"/>
      </w:divBdr>
      <w:divsChild>
        <w:div w:id="1350522814">
          <w:marLeft w:val="0"/>
          <w:marRight w:val="150"/>
          <w:marTop w:val="0"/>
          <w:marBottom w:val="0"/>
          <w:divBdr>
            <w:top w:val="single" w:sz="2" w:space="0" w:color="000000"/>
            <w:left w:val="single" w:sz="2" w:space="0" w:color="000000"/>
            <w:bottom w:val="single" w:sz="2" w:space="0" w:color="000000"/>
            <w:right w:val="single" w:sz="2" w:space="0" w:color="000000"/>
          </w:divBdr>
          <w:divsChild>
            <w:div w:id="419184993">
              <w:marLeft w:val="0"/>
              <w:marRight w:val="0"/>
              <w:marTop w:val="0"/>
              <w:marBottom w:val="0"/>
              <w:divBdr>
                <w:top w:val="single" w:sz="2" w:space="0" w:color="000000"/>
                <w:left w:val="single" w:sz="2" w:space="0" w:color="000000"/>
                <w:bottom w:val="single" w:sz="2" w:space="0" w:color="000000"/>
                <w:right w:val="single" w:sz="2" w:space="0" w:color="000000"/>
              </w:divBdr>
              <w:divsChild>
                <w:div w:id="1983074791">
                  <w:marLeft w:val="0"/>
                  <w:marRight w:val="0"/>
                  <w:marTop w:val="0"/>
                  <w:marBottom w:val="0"/>
                  <w:divBdr>
                    <w:top w:val="single" w:sz="2" w:space="0" w:color="000000"/>
                    <w:left w:val="single" w:sz="2" w:space="0" w:color="000000"/>
                    <w:bottom w:val="single" w:sz="2" w:space="0" w:color="000000"/>
                    <w:right w:val="single" w:sz="2" w:space="0" w:color="000000"/>
                  </w:divBdr>
                  <w:divsChild>
                    <w:div w:id="914239938">
                      <w:marLeft w:val="0"/>
                      <w:marRight w:val="0"/>
                      <w:marTop w:val="0"/>
                      <w:marBottom w:val="0"/>
                      <w:divBdr>
                        <w:top w:val="single" w:sz="2" w:space="0" w:color="000000"/>
                        <w:left w:val="single" w:sz="2" w:space="0" w:color="000000"/>
                        <w:bottom w:val="single" w:sz="2" w:space="0" w:color="000000"/>
                        <w:right w:val="single" w:sz="2" w:space="0" w:color="000000"/>
                      </w:divBdr>
                      <w:divsChild>
                        <w:div w:id="929580508">
                          <w:marLeft w:val="0"/>
                          <w:marRight w:val="0"/>
                          <w:marTop w:val="0"/>
                          <w:marBottom w:val="0"/>
                          <w:divBdr>
                            <w:top w:val="none" w:sz="0" w:space="0" w:color="auto"/>
                            <w:left w:val="none" w:sz="0" w:space="0" w:color="auto"/>
                            <w:bottom w:val="none" w:sz="0" w:space="0" w:color="auto"/>
                            <w:right w:val="none" w:sz="0" w:space="0" w:color="auto"/>
                          </w:divBdr>
                          <w:divsChild>
                            <w:div w:id="2019498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58825838">
          <w:marLeft w:val="0"/>
          <w:marRight w:val="0"/>
          <w:marTop w:val="0"/>
          <w:marBottom w:val="0"/>
          <w:divBdr>
            <w:top w:val="single" w:sz="2" w:space="0" w:color="000000"/>
            <w:left w:val="single" w:sz="2" w:space="0" w:color="000000"/>
            <w:bottom w:val="single" w:sz="2" w:space="8" w:color="000000"/>
            <w:right w:val="single" w:sz="2" w:space="0" w:color="000000"/>
          </w:divBdr>
          <w:divsChild>
            <w:div w:id="2075395400">
              <w:marLeft w:val="0"/>
              <w:marRight w:val="0"/>
              <w:marTop w:val="0"/>
              <w:marBottom w:val="0"/>
              <w:divBdr>
                <w:top w:val="single" w:sz="2" w:space="0" w:color="000000"/>
                <w:left w:val="single" w:sz="2" w:space="0" w:color="000000"/>
                <w:bottom w:val="single" w:sz="2" w:space="0" w:color="000000"/>
                <w:right w:val="single" w:sz="2" w:space="0" w:color="000000"/>
              </w:divBdr>
              <w:divsChild>
                <w:div w:id="201989819">
                  <w:marLeft w:val="0"/>
                  <w:marRight w:val="0"/>
                  <w:marTop w:val="0"/>
                  <w:marBottom w:val="30"/>
                  <w:divBdr>
                    <w:top w:val="single" w:sz="2" w:space="0" w:color="000000"/>
                    <w:left w:val="single" w:sz="2" w:space="0" w:color="000000"/>
                    <w:bottom w:val="single" w:sz="2" w:space="0" w:color="000000"/>
                    <w:right w:val="single" w:sz="2" w:space="0" w:color="000000"/>
                  </w:divBdr>
                  <w:divsChild>
                    <w:div w:id="1779834749">
                      <w:marLeft w:val="0"/>
                      <w:marRight w:val="0"/>
                      <w:marTop w:val="0"/>
                      <w:marBottom w:val="0"/>
                      <w:divBdr>
                        <w:top w:val="single" w:sz="2" w:space="0" w:color="000000"/>
                        <w:left w:val="single" w:sz="2" w:space="0" w:color="000000"/>
                        <w:bottom w:val="single" w:sz="2" w:space="0" w:color="000000"/>
                        <w:right w:val="single" w:sz="2" w:space="0" w:color="000000"/>
                      </w:divBdr>
                      <w:divsChild>
                        <w:div w:id="70584360">
                          <w:marLeft w:val="0"/>
                          <w:marRight w:val="0"/>
                          <w:marTop w:val="0"/>
                          <w:marBottom w:val="0"/>
                          <w:divBdr>
                            <w:top w:val="single" w:sz="2" w:space="0" w:color="000000"/>
                            <w:left w:val="single" w:sz="2" w:space="0" w:color="000000"/>
                            <w:bottom w:val="single" w:sz="2" w:space="0" w:color="000000"/>
                            <w:right w:val="single" w:sz="2" w:space="0" w:color="000000"/>
                          </w:divBdr>
                          <w:divsChild>
                            <w:div w:id="1392079576">
                              <w:marLeft w:val="0"/>
                              <w:marRight w:val="0"/>
                              <w:marTop w:val="0"/>
                              <w:marBottom w:val="0"/>
                              <w:divBdr>
                                <w:top w:val="single" w:sz="2" w:space="0" w:color="000000"/>
                                <w:left w:val="single" w:sz="2" w:space="0" w:color="000000"/>
                                <w:bottom w:val="single" w:sz="2" w:space="0" w:color="000000"/>
                                <w:right w:val="single" w:sz="2" w:space="0" w:color="000000"/>
                              </w:divBdr>
                              <w:divsChild>
                                <w:div w:id="1962956154">
                                  <w:marLeft w:val="0"/>
                                  <w:marRight w:val="0"/>
                                  <w:marTop w:val="0"/>
                                  <w:marBottom w:val="0"/>
                                  <w:divBdr>
                                    <w:top w:val="single" w:sz="2" w:space="0" w:color="000000"/>
                                    <w:left w:val="single" w:sz="2" w:space="0" w:color="000000"/>
                                    <w:bottom w:val="single" w:sz="2" w:space="0" w:color="000000"/>
                                    <w:right w:val="single" w:sz="2" w:space="0" w:color="000000"/>
                                  </w:divBdr>
                                  <w:divsChild>
                                    <w:div w:id="1719091966">
                                      <w:marLeft w:val="0"/>
                                      <w:marRight w:val="0"/>
                                      <w:marTop w:val="0"/>
                                      <w:marBottom w:val="0"/>
                                      <w:divBdr>
                                        <w:top w:val="single" w:sz="2" w:space="0" w:color="000000"/>
                                        <w:left w:val="single" w:sz="2" w:space="0" w:color="000000"/>
                                        <w:bottom w:val="single" w:sz="2" w:space="0" w:color="000000"/>
                                        <w:right w:val="single" w:sz="2" w:space="0" w:color="000000"/>
                                      </w:divBdr>
                                      <w:divsChild>
                                        <w:div w:id="204455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9860268">
                                      <w:marLeft w:val="75"/>
                                      <w:marRight w:val="0"/>
                                      <w:marTop w:val="0"/>
                                      <w:marBottom w:val="0"/>
                                      <w:divBdr>
                                        <w:top w:val="single" w:sz="2" w:space="0" w:color="000000"/>
                                        <w:left w:val="single" w:sz="2" w:space="0" w:color="000000"/>
                                        <w:bottom w:val="single" w:sz="2" w:space="0" w:color="000000"/>
                                        <w:right w:val="single" w:sz="2" w:space="0" w:color="000000"/>
                                      </w:divBdr>
                                      <w:divsChild>
                                        <w:div w:id="854464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22902919">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596210244">
              <w:marLeft w:val="0"/>
              <w:marRight w:val="0"/>
              <w:marTop w:val="0"/>
              <w:marBottom w:val="0"/>
              <w:divBdr>
                <w:top w:val="single" w:sz="2" w:space="0" w:color="000000"/>
                <w:left w:val="single" w:sz="2" w:space="0" w:color="000000"/>
                <w:bottom w:val="single" w:sz="2" w:space="0" w:color="000000"/>
                <w:right w:val="single" w:sz="2" w:space="0" w:color="000000"/>
              </w:divBdr>
              <w:divsChild>
                <w:div w:id="1702171599">
                  <w:marLeft w:val="0"/>
                  <w:marRight w:val="0"/>
                  <w:marTop w:val="0"/>
                  <w:marBottom w:val="0"/>
                  <w:divBdr>
                    <w:top w:val="single" w:sz="2" w:space="0" w:color="000000"/>
                    <w:left w:val="single" w:sz="2" w:space="0" w:color="000000"/>
                    <w:bottom w:val="single" w:sz="2" w:space="0" w:color="000000"/>
                    <w:right w:val="single" w:sz="2" w:space="0" w:color="000000"/>
                  </w:divBdr>
                  <w:divsChild>
                    <w:div w:id="555556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2033238">
                  <w:marLeft w:val="0"/>
                  <w:marRight w:val="0"/>
                  <w:marTop w:val="0"/>
                  <w:marBottom w:val="0"/>
                  <w:divBdr>
                    <w:top w:val="single" w:sz="2" w:space="0" w:color="000000"/>
                    <w:left w:val="single" w:sz="2" w:space="0" w:color="000000"/>
                    <w:bottom w:val="single" w:sz="2" w:space="0" w:color="000000"/>
                    <w:right w:val="single" w:sz="2" w:space="0" w:color="000000"/>
                  </w:divBdr>
                  <w:divsChild>
                    <w:div w:id="1143278826">
                      <w:marLeft w:val="0"/>
                      <w:marRight w:val="0"/>
                      <w:marTop w:val="0"/>
                      <w:marBottom w:val="0"/>
                      <w:divBdr>
                        <w:top w:val="single" w:sz="2" w:space="0" w:color="000000"/>
                        <w:left w:val="single" w:sz="2" w:space="0" w:color="000000"/>
                        <w:bottom w:val="single" w:sz="2" w:space="0" w:color="000000"/>
                        <w:right w:val="single" w:sz="2" w:space="0" w:color="000000"/>
                      </w:divBdr>
                      <w:divsChild>
                        <w:div w:id="1894271443">
                          <w:marLeft w:val="0"/>
                          <w:marRight w:val="0"/>
                          <w:marTop w:val="150"/>
                          <w:marBottom w:val="0"/>
                          <w:divBdr>
                            <w:top w:val="single" w:sz="2" w:space="0" w:color="000000"/>
                            <w:left w:val="single" w:sz="2" w:space="0" w:color="000000"/>
                            <w:bottom w:val="single" w:sz="2" w:space="0" w:color="000000"/>
                            <w:right w:val="single" w:sz="2" w:space="0" w:color="000000"/>
                          </w:divBdr>
                          <w:divsChild>
                            <w:div w:id="1464040857">
                              <w:marLeft w:val="0"/>
                              <w:marRight w:val="0"/>
                              <w:marTop w:val="0"/>
                              <w:marBottom w:val="0"/>
                              <w:divBdr>
                                <w:top w:val="single" w:sz="2" w:space="0" w:color="000000"/>
                                <w:left w:val="single" w:sz="2" w:space="0" w:color="000000"/>
                                <w:bottom w:val="single" w:sz="2" w:space="0" w:color="000000"/>
                                <w:right w:val="single" w:sz="2" w:space="0" w:color="000000"/>
                              </w:divBdr>
                              <w:divsChild>
                                <w:div w:id="1662074022">
                                  <w:marLeft w:val="0"/>
                                  <w:marRight w:val="0"/>
                                  <w:marTop w:val="0"/>
                                  <w:marBottom w:val="0"/>
                                  <w:divBdr>
                                    <w:top w:val="single" w:sz="2" w:space="0" w:color="000000"/>
                                    <w:left w:val="single" w:sz="2" w:space="0" w:color="000000"/>
                                    <w:bottom w:val="single" w:sz="2" w:space="0" w:color="000000"/>
                                    <w:right w:val="single" w:sz="2" w:space="0" w:color="000000"/>
                                  </w:divBdr>
                                  <w:divsChild>
                                    <w:div w:id="1497575823">
                                      <w:marLeft w:val="0"/>
                                      <w:marRight w:val="0"/>
                                      <w:marTop w:val="0"/>
                                      <w:marBottom w:val="0"/>
                                      <w:divBdr>
                                        <w:top w:val="single" w:sz="2" w:space="0" w:color="000000"/>
                                        <w:left w:val="single" w:sz="2" w:space="0" w:color="000000"/>
                                        <w:bottom w:val="single" w:sz="2" w:space="0" w:color="000000"/>
                                        <w:right w:val="single" w:sz="2" w:space="0" w:color="000000"/>
                                      </w:divBdr>
                                      <w:divsChild>
                                        <w:div w:id="172844713">
                                          <w:marLeft w:val="0"/>
                                          <w:marRight w:val="0"/>
                                          <w:marTop w:val="0"/>
                                          <w:marBottom w:val="0"/>
                                          <w:divBdr>
                                            <w:top w:val="single" w:sz="2" w:space="0" w:color="000000"/>
                                            <w:left w:val="single" w:sz="2" w:space="0" w:color="000000"/>
                                            <w:bottom w:val="single" w:sz="2" w:space="0" w:color="000000"/>
                                            <w:right w:val="single" w:sz="2" w:space="0" w:color="000000"/>
                                          </w:divBdr>
                                          <w:divsChild>
                                            <w:div w:id="145826655">
                                              <w:marLeft w:val="0"/>
                                              <w:marRight w:val="0"/>
                                              <w:marTop w:val="0"/>
                                              <w:marBottom w:val="0"/>
                                              <w:divBdr>
                                                <w:top w:val="single" w:sz="2" w:space="0" w:color="000000"/>
                                                <w:left w:val="single" w:sz="2" w:space="0" w:color="000000"/>
                                                <w:bottom w:val="single" w:sz="2" w:space="0" w:color="000000"/>
                                                <w:right w:val="single" w:sz="2" w:space="0" w:color="000000"/>
                                              </w:divBdr>
                                              <w:divsChild>
                                                <w:div w:id="1208638256">
                                                  <w:marLeft w:val="0"/>
                                                  <w:marRight w:val="0"/>
                                                  <w:marTop w:val="0"/>
                                                  <w:marBottom w:val="0"/>
                                                  <w:divBdr>
                                                    <w:top w:val="single" w:sz="2" w:space="0" w:color="000000"/>
                                                    <w:left w:val="single" w:sz="2" w:space="8" w:color="000000"/>
                                                    <w:bottom w:val="single" w:sz="2" w:space="0" w:color="000000"/>
                                                    <w:right w:val="single" w:sz="2" w:space="8" w:color="000000"/>
                                                  </w:divBdr>
                                                  <w:divsChild>
                                                    <w:div w:id="1928464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4856711">
                                                  <w:marLeft w:val="0"/>
                                                  <w:marRight w:val="0"/>
                                                  <w:marTop w:val="0"/>
                                                  <w:marBottom w:val="0"/>
                                                  <w:divBdr>
                                                    <w:top w:val="single" w:sz="2" w:space="0" w:color="000000"/>
                                                    <w:left w:val="single" w:sz="2" w:space="8" w:color="000000"/>
                                                    <w:bottom w:val="single" w:sz="2" w:space="0" w:color="000000"/>
                                                    <w:right w:val="single" w:sz="2" w:space="0" w:color="000000"/>
                                                  </w:divBdr>
                                                  <w:divsChild>
                                                    <w:div w:id="1904020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02988206">
                                          <w:marLeft w:val="0"/>
                                          <w:marRight w:val="0"/>
                                          <w:marTop w:val="75"/>
                                          <w:marBottom w:val="0"/>
                                          <w:divBdr>
                                            <w:top w:val="single" w:sz="2" w:space="0" w:color="000000"/>
                                            <w:left w:val="single" w:sz="2" w:space="0" w:color="000000"/>
                                            <w:bottom w:val="single" w:sz="2" w:space="0" w:color="000000"/>
                                            <w:right w:val="single" w:sz="2" w:space="0" w:color="000000"/>
                                          </w:divBdr>
                                          <w:divsChild>
                                            <w:div w:id="1491291521">
                                              <w:marLeft w:val="0"/>
                                              <w:marRight w:val="0"/>
                                              <w:marTop w:val="0"/>
                                              <w:marBottom w:val="0"/>
                                              <w:divBdr>
                                                <w:top w:val="single" w:sz="2" w:space="0" w:color="000000"/>
                                                <w:left w:val="single" w:sz="2" w:space="0" w:color="000000"/>
                                                <w:bottom w:val="single" w:sz="2" w:space="0" w:color="000000"/>
                                                <w:right w:val="single" w:sz="2" w:space="0" w:color="000000"/>
                                              </w:divBdr>
                                              <w:divsChild>
                                                <w:div w:id="354237189">
                                                  <w:marLeft w:val="0"/>
                                                  <w:marRight w:val="0"/>
                                                  <w:marTop w:val="0"/>
                                                  <w:marBottom w:val="0"/>
                                                  <w:divBdr>
                                                    <w:top w:val="single" w:sz="2" w:space="0" w:color="000000"/>
                                                    <w:left w:val="single" w:sz="2" w:space="8" w:color="000000"/>
                                                    <w:bottom w:val="single" w:sz="2" w:space="0" w:color="000000"/>
                                                    <w:right w:val="single" w:sz="2" w:space="8" w:color="000000"/>
                                                  </w:divBdr>
                                                  <w:divsChild>
                                                    <w:div w:id="1014647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2356615">
                                                  <w:marLeft w:val="0"/>
                                                  <w:marRight w:val="0"/>
                                                  <w:marTop w:val="0"/>
                                                  <w:marBottom w:val="0"/>
                                                  <w:divBdr>
                                                    <w:top w:val="single" w:sz="2" w:space="0" w:color="000000"/>
                                                    <w:left w:val="single" w:sz="2" w:space="8" w:color="000000"/>
                                                    <w:bottom w:val="single" w:sz="2" w:space="0" w:color="000000"/>
                                                    <w:right w:val="single" w:sz="2" w:space="0" w:color="000000"/>
                                                  </w:divBdr>
                                                  <w:divsChild>
                                                    <w:div w:id="1110931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64566048">
                                          <w:marLeft w:val="0"/>
                                          <w:marRight w:val="0"/>
                                          <w:marTop w:val="75"/>
                                          <w:marBottom w:val="0"/>
                                          <w:divBdr>
                                            <w:top w:val="single" w:sz="2" w:space="0" w:color="000000"/>
                                            <w:left w:val="single" w:sz="2" w:space="0" w:color="000000"/>
                                            <w:bottom w:val="single" w:sz="2" w:space="0" w:color="000000"/>
                                            <w:right w:val="single" w:sz="2" w:space="0" w:color="000000"/>
                                          </w:divBdr>
                                          <w:divsChild>
                                            <w:div w:id="1746099576">
                                              <w:marLeft w:val="0"/>
                                              <w:marRight w:val="0"/>
                                              <w:marTop w:val="0"/>
                                              <w:marBottom w:val="0"/>
                                              <w:divBdr>
                                                <w:top w:val="single" w:sz="2" w:space="0" w:color="000000"/>
                                                <w:left w:val="single" w:sz="2" w:space="0" w:color="000000"/>
                                                <w:bottom w:val="single" w:sz="2" w:space="0" w:color="000000"/>
                                                <w:right w:val="single" w:sz="2" w:space="0" w:color="000000"/>
                                              </w:divBdr>
                                              <w:divsChild>
                                                <w:div w:id="2134010985">
                                                  <w:marLeft w:val="0"/>
                                                  <w:marRight w:val="0"/>
                                                  <w:marTop w:val="0"/>
                                                  <w:marBottom w:val="0"/>
                                                  <w:divBdr>
                                                    <w:top w:val="single" w:sz="2" w:space="0" w:color="000000"/>
                                                    <w:left w:val="single" w:sz="2" w:space="8" w:color="000000"/>
                                                    <w:bottom w:val="single" w:sz="2" w:space="0" w:color="000000"/>
                                                    <w:right w:val="single" w:sz="2" w:space="8" w:color="000000"/>
                                                  </w:divBdr>
                                                  <w:divsChild>
                                                    <w:div w:id="1329213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777583">
                                                  <w:marLeft w:val="0"/>
                                                  <w:marRight w:val="0"/>
                                                  <w:marTop w:val="0"/>
                                                  <w:marBottom w:val="0"/>
                                                  <w:divBdr>
                                                    <w:top w:val="single" w:sz="2" w:space="0" w:color="000000"/>
                                                    <w:left w:val="single" w:sz="2" w:space="8" w:color="000000"/>
                                                    <w:bottom w:val="single" w:sz="2" w:space="0" w:color="000000"/>
                                                    <w:right w:val="single" w:sz="2" w:space="0" w:color="000000"/>
                                                  </w:divBdr>
                                                  <w:divsChild>
                                                    <w:div w:id="479616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0835978">
                                          <w:marLeft w:val="0"/>
                                          <w:marRight w:val="0"/>
                                          <w:marTop w:val="150"/>
                                          <w:marBottom w:val="0"/>
                                          <w:divBdr>
                                            <w:top w:val="single" w:sz="2" w:space="0" w:color="000000"/>
                                            <w:left w:val="single" w:sz="2" w:space="0" w:color="000000"/>
                                            <w:bottom w:val="single" w:sz="2" w:space="0" w:color="000000"/>
                                            <w:right w:val="single" w:sz="2" w:space="0" w:color="000000"/>
                                          </w:divBdr>
                                          <w:divsChild>
                                            <w:div w:id="4275831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998969751">
      <w:bodyDiv w:val="1"/>
      <w:marLeft w:val="0"/>
      <w:marRight w:val="0"/>
      <w:marTop w:val="0"/>
      <w:marBottom w:val="0"/>
      <w:divBdr>
        <w:top w:val="none" w:sz="0" w:space="0" w:color="auto"/>
        <w:left w:val="none" w:sz="0" w:space="0" w:color="auto"/>
        <w:bottom w:val="none" w:sz="0" w:space="0" w:color="auto"/>
        <w:right w:val="none" w:sz="0" w:space="0" w:color="auto"/>
      </w:divBdr>
    </w:div>
    <w:div w:id="1002588299">
      <w:bodyDiv w:val="1"/>
      <w:marLeft w:val="0"/>
      <w:marRight w:val="0"/>
      <w:marTop w:val="0"/>
      <w:marBottom w:val="0"/>
      <w:divBdr>
        <w:top w:val="none" w:sz="0" w:space="0" w:color="auto"/>
        <w:left w:val="none" w:sz="0" w:space="0" w:color="auto"/>
        <w:bottom w:val="none" w:sz="0" w:space="0" w:color="auto"/>
        <w:right w:val="none" w:sz="0" w:space="0" w:color="auto"/>
      </w:divBdr>
    </w:div>
    <w:div w:id="1005596062">
      <w:bodyDiv w:val="1"/>
      <w:marLeft w:val="0"/>
      <w:marRight w:val="0"/>
      <w:marTop w:val="0"/>
      <w:marBottom w:val="0"/>
      <w:divBdr>
        <w:top w:val="none" w:sz="0" w:space="0" w:color="auto"/>
        <w:left w:val="none" w:sz="0" w:space="0" w:color="auto"/>
        <w:bottom w:val="none" w:sz="0" w:space="0" w:color="auto"/>
        <w:right w:val="none" w:sz="0" w:space="0" w:color="auto"/>
      </w:divBdr>
    </w:div>
    <w:div w:id="1007630827">
      <w:bodyDiv w:val="1"/>
      <w:marLeft w:val="0"/>
      <w:marRight w:val="0"/>
      <w:marTop w:val="0"/>
      <w:marBottom w:val="0"/>
      <w:divBdr>
        <w:top w:val="none" w:sz="0" w:space="0" w:color="auto"/>
        <w:left w:val="none" w:sz="0" w:space="0" w:color="auto"/>
        <w:bottom w:val="none" w:sz="0" w:space="0" w:color="auto"/>
        <w:right w:val="none" w:sz="0" w:space="0" w:color="auto"/>
      </w:divBdr>
    </w:div>
    <w:div w:id="1014117436">
      <w:bodyDiv w:val="1"/>
      <w:marLeft w:val="0"/>
      <w:marRight w:val="0"/>
      <w:marTop w:val="0"/>
      <w:marBottom w:val="0"/>
      <w:divBdr>
        <w:top w:val="none" w:sz="0" w:space="0" w:color="auto"/>
        <w:left w:val="none" w:sz="0" w:space="0" w:color="auto"/>
        <w:bottom w:val="none" w:sz="0" w:space="0" w:color="auto"/>
        <w:right w:val="none" w:sz="0" w:space="0" w:color="auto"/>
      </w:divBdr>
    </w:div>
    <w:div w:id="1034380407">
      <w:bodyDiv w:val="1"/>
      <w:marLeft w:val="0"/>
      <w:marRight w:val="0"/>
      <w:marTop w:val="0"/>
      <w:marBottom w:val="0"/>
      <w:divBdr>
        <w:top w:val="none" w:sz="0" w:space="0" w:color="auto"/>
        <w:left w:val="none" w:sz="0" w:space="0" w:color="auto"/>
        <w:bottom w:val="none" w:sz="0" w:space="0" w:color="auto"/>
        <w:right w:val="none" w:sz="0" w:space="0" w:color="auto"/>
      </w:divBdr>
    </w:div>
    <w:div w:id="1048455468">
      <w:bodyDiv w:val="1"/>
      <w:marLeft w:val="0"/>
      <w:marRight w:val="0"/>
      <w:marTop w:val="0"/>
      <w:marBottom w:val="0"/>
      <w:divBdr>
        <w:top w:val="none" w:sz="0" w:space="0" w:color="auto"/>
        <w:left w:val="none" w:sz="0" w:space="0" w:color="auto"/>
        <w:bottom w:val="none" w:sz="0" w:space="0" w:color="auto"/>
        <w:right w:val="none" w:sz="0" w:space="0" w:color="auto"/>
      </w:divBdr>
    </w:div>
    <w:div w:id="1063288314">
      <w:bodyDiv w:val="1"/>
      <w:marLeft w:val="0"/>
      <w:marRight w:val="0"/>
      <w:marTop w:val="0"/>
      <w:marBottom w:val="0"/>
      <w:divBdr>
        <w:top w:val="none" w:sz="0" w:space="0" w:color="auto"/>
        <w:left w:val="none" w:sz="0" w:space="0" w:color="auto"/>
        <w:bottom w:val="none" w:sz="0" w:space="0" w:color="auto"/>
        <w:right w:val="none" w:sz="0" w:space="0" w:color="auto"/>
      </w:divBdr>
    </w:div>
    <w:div w:id="1065756110">
      <w:bodyDiv w:val="1"/>
      <w:marLeft w:val="0"/>
      <w:marRight w:val="0"/>
      <w:marTop w:val="0"/>
      <w:marBottom w:val="0"/>
      <w:divBdr>
        <w:top w:val="none" w:sz="0" w:space="0" w:color="auto"/>
        <w:left w:val="none" w:sz="0" w:space="0" w:color="auto"/>
        <w:bottom w:val="none" w:sz="0" w:space="0" w:color="auto"/>
        <w:right w:val="none" w:sz="0" w:space="0" w:color="auto"/>
      </w:divBdr>
    </w:div>
    <w:div w:id="1066416294">
      <w:bodyDiv w:val="1"/>
      <w:marLeft w:val="0"/>
      <w:marRight w:val="0"/>
      <w:marTop w:val="0"/>
      <w:marBottom w:val="0"/>
      <w:divBdr>
        <w:top w:val="none" w:sz="0" w:space="0" w:color="auto"/>
        <w:left w:val="none" w:sz="0" w:space="0" w:color="auto"/>
        <w:bottom w:val="none" w:sz="0" w:space="0" w:color="auto"/>
        <w:right w:val="none" w:sz="0" w:space="0" w:color="auto"/>
      </w:divBdr>
    </w:div>
    <w:div w:id="1074622778">
      <w:bodyDiv w:val="1"/>
      <w:marLeft w:val="0"/>
      <w:marRight w:val="0"/>
      <w:marTop w:val="0"/>
      <w:marBottom w:val="0"/>
      <w:divBdr>
        <w:top w:val="none" w:sz="0" w:space="0" w:color="auto"/>
        <w:left w:val="none" w:sz="0" w:space="0" w:color="auto"/>
        <w:bottom w:val="none" w:sz="0" w:space="0" w:color="auto"/>
        <w:right w:val="none" w:sz="0" w:space="0" w:color="auto"/>
      </w:divBdr>
    </w:div>
    <w:div w:id="1090395961">
      <w:bodyDiv w:val="1"/>
      <w:marLeft w:val="0"/>
      <w:marRight w:val="0"/>
      <w:marTop w:val="0"/>
      <w:marBottom w:val="0"/>
      <w:divBdr>
        <w:top w:val="none" w:sz="0" w:space="0" w:color="auto"/>
        <w:left w:val="none" w:sz="0" w:space="0" w:color="auto"/>
        <w:bottom w:val="none" w:sz="0" w:space="0" w:color="auto"/>
        <w:right w:val="none" w:sz="0" w:space="0" w:color="auto"/>
      </w:divBdr>
    </w:div>
    <w:div w:id="1093933032">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42767651">
      <w:bodyDiv w:val="1"/>
      <w:marLeft w:val="0"/>
      <w:marRight w:val="0"/>
      <w:marTop w:val="0"/>
      <w:marBottom w:val="0"/>
      <w:divBdr>
        <w:top w:val="none" w:sz="0" w:space="0" w:color="auto"/>
        <w:left w:val="none" w:sz="0" w:space="0" w:color="auto"/>
        <w:bottom w:val="none" w:sz="0" w:space="0" w:color="auto"/>
        <w:right w:val="none" w:sz="0" w:space="0" w:color="auto"/>
      </w:divBdr>
    </w:div>
    <w:div w:id="1149251152">
      <w:bodyDiv w:val="1"/>
      <w:marLeft w:val="0"/>
      <w:marRight w:val="0"/>
      <w:marTop w:val="0"/>
      <w:marBottom w:val="0"/>
      <w:divBdr>
        <w:top w:val="none" w:sz="0" w:space="0" w:color="auto"/>
        <w:left w:val="none" w:sz="0" w:space="0" w:color="auto"/>
        <w:bottom w:val="none" w:sz="0" w:space="0" w:color="auto"/>
        <w:right w:val="none" w:sz="0" w:space="0" w:color="auto"/>
      </w:divBdr>
    </w:div>
    <w:div w:id="1154027908">
      <w:bodyDiv w:val="1"/>
      <w:marLeft w:val="0"/>
      <w:marRight w:val="0"/>
      <w:marTop w:val="0"/>
      <w:marBottom w:val="0"/>
      <w:divBdr>
        <w:top w:val="none" w:sz="0" w:space="0" w:color="auto"/>
        <w:left w:val="none" w:sz="0" w:space="0" w:color="auto"/>
        <w:bottom w:val="none" w:sz="0" w:space="0" w:color="auto"/>
        <w:right w:val="none" w:sz="0" w:space="0" w:color="auto"/>
      </w:divBdr>
    </w:div>
    <w:div w:id="1166476524">
      <w:bodyDiv w:val="1"/>
      <w:marLeft w:val="0"/>
      <w:marRight w:val="0"/>
      <w:marTop w:val="0"/>
      <w:marBottom w:val="0"/>
      <w:divBdr>
        <w:top w:val="none" w:sz="0" w:space="0" w:color="auto"/>
        <w:left w:val="none" w:sz="0" w:space="0" w:color="auto"/>
        <w:bottom w:val="none" w:sz="0" w:space="0" w:color="auto"/>
        <w:right w:val="none" w:sz="0" w:space="0" w:color="auto"/>
      </w:divBdr>
    </w:div>
    <w:div w:id="1174028343">
      <w:bodyDiv w:val="1"/>
      <w:marLeft w:val="0"/>
      <w:marRight w:val="0"/>
      <w:marTop w:val="0"/>
      <w:marBottom w:val="0"/>
      <w:divBdr>
        <w:top w:val="none" w:sz="0" w:space="0" w:color="auto"/>
        <w:left w:val="none" w:sz="0" w:space="0" w:color="auto"/>
        <w:bottom w:val="none" w:sz="0" w:space="0" w:color="auto"/>
        <w:right w:val="none" w:sz="0" w:space="0" w:color="auto"/>
      </w:divBdr>
    </w:div>
    <w:div w:id="1178081212">
      <w:bodyDiv w:val="1"/>
      <w:marLeft w:val="0"/>
      <w:marRight w:val="0"/>
      <w:marTop w:val="0"/>
      <w:marBottom w:val="0"/>
      <w:divBdr>
        <w:top w:val="none" w:sz="0" w:space="0" w:color="auto"/>
        <w:left w:val="none" w:sz="0" w:space="0" w:color="auto"/>
        <w:bottom w:val="none" w:sz="0" w:space="0" w:color="auto"/>
        <w:right w:val="none" w:sz="0" w:space="0" w:color="auto"/>
      </w:divBdr>
      <w:divsChild>
        <w:div w:id="810363461">
          <w:marLeft w:val="360"/>
          <w:marRight w:val="0"/>
          <w:marTop w:val="200"/>
          <w:marBottom w:val="0"/>
          <w:divBdr>
            <w:top w:val="none" w:sz="0" w:space="0" w:color="auto"/>
            <w:left w:val="none" w:sz="0" w:space="0" w:color="auto"/>
            <w:bottom w:val="none" w:sz="0" w:space="0" w:color="auto"/>
            <w:right w:val="none" w:sz="0" w:space="0" w:color="auto"/>
          </w:divBdr>
        </w:div>
        <w:div w:id="597561776">
          <w:marLeft w:val="360"/>
          <w:marRight w:val="0"/>
          <w:marTop w:val="200"/>
          <w:marBottom w:val="0"/>
          <w:divBdr>
            <w:top w:val="none" w:sz="0" w:space="0" w:color="auto"/>
            <w:left w:val="none" w:sz="0" w:space="0" w:color="auto"/>
            <w:bottom w:val="none" w:sz="0" w:space="0" w:color="auto"/>
            <w:right w:val="none" w:sz="0" w:space="0" w:color="auto"/>
          </w:divBdr>
        </w:div>
        <w:div w:id="1840803065">
          <w:marLeft w:val="360"/>
          <w:marRight w:val="0"/>
          <w:marTop w:val="200"/>
          <w:marBottom w:val="0"/>
          <w:divBdr>
            <w:top w:val="none" w:sz="0" w:space="0" w:color="auto"/>
            <w:left w:val="none" w:sz="0" w:space="0" w:color="auto"/>
            <w:bottom w:val="none" w:sz="0" w:space="0" w:color="auto"/>
            <w:right w:val="none" w:sz="0" w:space="0" w:color="auto"/>
          </w:divBdr>
        </w:div>
      </w:divsChild>
    </w:div>
    <w:div w:id="1184320010">
      <w:bodyDiv w:val="1"/>
      <w:marLeft w:val="0"/>
      <w:marRight w:val="0"/>
      <w:marTop w:val="0"/>
      <w:marBottom w:val="0"/>
      <w:divBdr>
        <w:top w:val="none" w:sz="0" w:space="0" w:color="auto"/>
        <w:left w:val="none" w:sz="0" w:space="0" w:color="auto"/>
        <w:bottom w:val="none" w:sz="0" w:space="0" w:color="auto"/>
        <w:right w:val="none" w:sz="0" w:space="0" w:color="auto"/>
      </w:divBdr>
    </w:div>
    <w:div w:id="1200315711">
      <w:bodyDiv w:val="1"/>
      <w:marLeft w:val="0"/>
      <w:marRight w:val="0"/>
      <w:marTop w:val="0"/>
      <w:marBottom w:val="0"/>
      <w:divBdr>
        <w:top w:val="none" w:sz="0" w:space="0" w:color="auto"/>
        <w:left w:val="none" w:sz="0" w:space="0" w:color="auto"/>
        <w:bottom w:val="none" w:sz="0" w:space="0" w:color="auto"/>
        <w:right w:val="none" w:sz="0" w:space="0" w:color="auto"/>
      </w:divBdr>
    </w:div>
    <w:div w:id="1200707317">
      <w:bodyDiv w:val="1"/>
      <w:marLeft w:val="0"/>
      <w:marRight w:val="0"/>
      <w:marTop w:val="0"/>
      <w:marBottom w:val="0"/>
      <w:divBdr>
        <w:top w:val="none" w:sz="0" w:space="0" w:color="auto"/>
        <w:left w:val="none" w:sz="0" w:space="0" w:color="auto"/>
        <w:bottom w:val="none" w:sz="0" w:space="0" w:color="auto"/>
        <w:right w:val="none" w:sz="0" w:space="0" w:color="auto"/>
      </w:divBdr>
    </w:div>
    <w:div w:id="1208109095">
      <w:bodyDiv w:val="1"/>
      <w:marLeft w:val="0"/>
      <w:marRight w:val="0"/>
      <w:marTop w:val="0"/>
      <w:marBottom w:val="0"/>
      <w:divBdr>
        <w:top w:val="none" w:sz="0" w:space="0" w:color="auto"/>
        <w:left w:val="none" w:sz="0" w:space="0" w:color="auto"/>
        <w:bottom w:val="none" w:sz="0" w:space="0" w:color="auto"/>
        <w:right w:val="none" w:sz="0" w:space="0" w:color="auto"/>
      </w:divBdr>
    </w:div>
    <w:div w:id="1209335892">
      <w:bodyDiv w:val="1"/>
      <w:marLeft w:val="0"/>
      <w:marRight w:val="0"/>
      <w:marTop w:val="0"/>
      <w:marBottom w:val="0"/>
      <w:divBdr>
        <w:top w:val="none" w:sz="0" w:space="0" w:color="auto"/>
        <w:left w:val="none" w:sz="0" w:space="0" w:color="auto"/>
        <w:bottom w:val="none" w:sz="0" w:space="0" w:color="auto"/>
        <w:right w:val="none" w:sz="0" w:space="0" w:color="auto"/>
      </w:divBdr>
    </w:div>
    <w:div w:id="1215972820">
      <w:bodyDiv w:val="1"/>
      <w:marLeft w:val="0"/>
      <w:marRight w:val="0"/>
      <w:marTop w:val="0"/>
      <w:marBottom w:val="0"/>
      <w:divBdr>
        <w:top w:val="none" w:sz="0" w:space="0" w:color="auto"/>
        <w:left w:val="none" w:sz="0" w:space="0" w:color="auto"/>
        <w:bottom w:val="none" w:sz="0" w:space="0" w:color="auto"/>
        <w:right w:val="none" w:sz="0" w:space="0" w:color="auto"/>
      </w:divBdr>
    </w:div>
    <w:div w:id="1233589226">
      <w:bodyDiv w:val="1"/>
      <w:marLeft w:val="0"/>
      <w:marRight w:val="0"/>
      <w:marTop w:val="0"/>
      <w:marBottom w:val="0"/>
      <w:divBdr>
        <w:top w:val="none" w:sz="0" w:space="0" w:color="auto"/>
        <w:left w:val="none" w:sz="0" w:space="0" w:color="auto"/>
        <w:bottom w:val="none" w:sz="0" w:space="0" w:color="auto"/>
        <w:right w:val="none" w:sz="0" w:space="0" w:color="auto"/>
      </w:divBdr>
    </w:div>
    <w:div w:id="1234389943">
      <w:bodyDiv w:val="1"/>
      <w:marLeft w:val="0"/>
      <w:marRight w:val="0"/>
      <w:marTop w:val="0"/>
      <w:marBottom w:val="0"/>
      <w:divBdr>
        <w:top w:val="none" w:sz="0" w:space="0" w:color="auto"/>
        <w:left w:val="none" w:sz="0" w:space="0" w:color="auto"/>
        <w:bottom w:val="none" w:sz="0" w:space="0" w:color="auto"/>
        <w:right w:val="none" w:sz="0" w:space="0" w:color="auto"/>
      </w:divBdr>
      <w:divsChild>
        <w:div w:id="991954521">
          <w:marLeft w:val="360"/>
          <w:marRight w:val="0"/>
          <w:marTop w:val="200"/>
          <w:marBottom w:val="0"/>
          <w:divBdr>
            <w:top w:val="none" w:sz="0" w:space="0" w:color="auto"/>
            <w:left w:val="none" w:sz="0" w:space="0" w:color="auto"/>
            <w:bottom w:val="none" w:sz="0" w:space="0" w:color="auto"/>
            <w:right w:val="none" w:sz="0" w:space="0" w:color="auto"/>
          </w:divBdr>
        </w:div>
        <w:div w:id="2089380503">
          <w:marLeft w:val="360"/>
          <w:marRight w:val="0"/>
          <w:marTop w:val="200"/>
          <w:marBottom w:val="0"/>
          <w:divBdr>
            <w:top w:val="none" w:sz="0" w:space="0" w:color="auto"/>
            <w:left w:val="none" w:sz="0" w:space="0" w:color="auto"/>
            <w:bottom w:val="none" w:sz="0" w:space="0" w:color="auto"/>
            <w:right w:val="none" w:sz="0" w:space="0" w:color="auto"/>
          </w:divBdr>
        </w:div>
        <w:div w:id="16002883">
          <w:marLeft w:val="360"/>
          <w:marRight w:val="0"/>
          <w:marTop w:val="200"/>
          <w:marBottom w:val="0"/>
          <w:divBdr>
            <w:top w:val="none" w:sz="0" w:space="0" w:color="auto"/>
            <w:left w:val="none" w:sz="0" w:space="0" w:color="auto"/>
            <w:bottom w:val="none" w:sz="0" w:space="0" w:color="auto"/>
            <w:right w:val="none" w:sz="0" w:space="0" w:color="auto"/>
          </w:divBdr>
        </w:div>
        <w:div w:id="1818842063">
          <w:marLeft w:val="360"/>
          <w:marRight w:val="0"/>
          <w:marTop w:val="200"/>
          <w:marBottom w:val="0"/>
          <w:divBdr>
            <w:top w:val="none" w:sz="0" w:space="0" w:color="auto"/>
            <w:left w:val="none" w:sz="0" w:space="0" w:color="auto"/>
            <w:bottom w:val="none" w:sz="0" w:space="0" w:color="auto"/>
            <w:right w:val="none" w:sz="0" w:space="0" w:color="auto"/>
          </w:divBdr>
        </w:div>
      </w:divsChild>
    </w:div>
    <w:div w:id="1246841300">
      <w:bodyDiv w:val="1"/>
      <w:marLeft w:val="0"/>
      <w:marRight w:val="0"/>
      <w:marTop w:val="0"/>
      <w:marBottom w:val="0"/>
      <w:divBdr>
        <w:top w:val="none" w:sz="0" w:space="0" w:color="auto"/>
        <w:left w:val="none" w:sz="0" w:space="0" w:color="auto"/>
        <w:bottom w:val="none" w:sz="0" w:space="0" w:color="auto"/>
        <w:right w:val="none" w:sz="0" w:space="0" w:color="auto"/>
      </w:divBdr>
    </w:div>
    <w:div w:id="1251349081">
      <w:bodyDiv w:val="1"/>
      <w:marLeft w:val="0"/>
      <w:marRight w:val="0"/>
      <w:marTop w:val="0"/>
      <w:marBottom w:val="0"/>
      <w:divBdr>
        <w:top w:val="none" w:sz="0" w:space="0" w:color="auto"/>
        <w:left w:val="none" w:sz="0" w:space="0" w:color="auto"/>
        <w:bottom w:val="none" w:sz="0" w:space="0" w:color="auto"/>
        <w:right w:val="none" w:sz="0" w:space="0" w:color="auto"/>
      </w:divBdr>
    </w:div>
    <w:div w:id="1253078867">
      <w:bodyDiv w:val="1"/>
      <w:marLeft w:val="0"/>
      <w:marRight w:val="0"/>
      <w:marTop w:val="0"/>
      <w:marBottom w:val="0"/>
      <w:divBdr>
        <w:top w:val="none" w:sz="0" w:space="0" w:color="auto"/>
        <w:left w:val="none" w:sz="0" w:space="0" w:color="auto"/>
        <w:bottom w:val="none" w:sz="0" w:space="0" w:color="auto"/>
        <w:right w:val="none" w:sz="0" w:space="0" w:color="auto"/>
      </w:divBdr>
    </w:div>
    <w:div w:id="1268585387">
      <w:bodyDiv w:val="1"/>
      <w:marLeft w:val="0"/>
      <w:marRight w:val="0"/>
      <w:marTop w:val="0"/>
      <w:marBottom w:val="0"/>
      <w:divBdr>
        <w:top w:val="none" w:sz="0" w:space="0" w:color="auto"/>
        <w:left w:val="none" w:sz="0" w:space="0" w:color="auto"/>
        <w:bottom w:val="none" w:sz="0" w:space="0" w:color="auto"/>
        <w:right w:val="none" w:sz="0" w:space="0" w:color="auto"/>
      </w:divBdr>
    </w:div>
    <w:div w:id="1283875638">
      <w:bodyDiv w:val="1"/>
      <w:marLeft w:val="0"/>
      <w:marRight w:val="0"/>
      <w:marTop w:val="0"/>
      <w:marBottom w:val="0"/>
      <w:divBdr>
        <w:top w:val="none" w:sz="0" w:space="0" w:color="auto"/>
        <w:left w:val="none" w:sz="0" w:space="0" w:color="auto"/>
        <w:bottom w:val="none" w:sz="0" w:space="0" w:color="auto"/>
        <w:right w:val="none" w:sz="0" w:space="0" w:color="auto"/>
      </w:divBdr>
    </w:div>
    <w:div w:id="1285237181">
      <w:bodyDiv w:val="1"/>
      <w:marLeft w:val="0"/>
      <w:marRight w:val="0"/>
      <w:marTop w:val="0"/>
      <w:marBottom w:val="0"/>
      <w:divBdr>
        <w:top w:val="none" w:sz="0" w:space="0" w:color="auto"/>
        <w:left w:val="none" w:sz="0" w:space="0" w:color="auto"/>
        <w:bottom w:val="none" w:sz="0" w:space="0" w:color="auto"/>
        <w:right w:val="none" w:sz="0" w:space="0" w:color="auto"/>
      </w:divBdr>
    </w:div>
    <w:div w:id="1324624702">
      <w:bodyDiv w:val="1"/>
      <w:marLeft w:val="0"/>
      <w:marRight w:val="0"/>
      <w:marTop w:val="0"/>
      <w:marBottom w:val="0"/>
      <w:divBdr>
        <w:top w:val="none" w:sz="0" w:space="0" w:color="auto"/>
        <w:left w:val="none" w:sz="0" w:space="0" w:color="auto"/>
        <w:bottom w:val="none" w:sz="0" w:space="0" w:color="auto"/>
        <w:right w:val="none" w:sz="0" w:space="0" w:color="auto"/>
      </w:divBdr>
    </w:div>
    <w:div w:id="1366446254">
      <w:bodyDiv w:val="1"/>
      <w:marLeft w:val="0"/>
      <w:marRight w:val="0"/>
      <w:marTop w:val="0"/>
      <w:marBottom w:val="0"/>
      <w:divBdr>
        <w:top w:val="none" w:sz="0" w:space="0" w:color="auto"/>
        <w:left w:val="none" w:sz="0" w:space="0" w:color="auto"/>
        <w:bottom w:val="none" w:sz="0" w:space="0" w:color="auto"/>
        <w:right w:val="none" w:sz="0" w:space="0" w:color="auto"/>
      </w:divBdr>
    </w:div>
    <w:div w:id="1368138656">
      <w:bodyDiv w:val="1"/>
      <w:marLeft w:val="0"/>
      <w:marRight w:val="0"/>
      <w:marTop w:val="0"/>
      <w:marBottom w:val="0"/>
      <w:divBdr>
        <w:top w:val="none" w:sz="0" w:space="0" w:color="auto"/>
        <w:left w:val="none" w:sz="0" w:space="0" w:color="auto"/>
        <w:bottom w:val="none" w:sz="0" w:space="0" w:color="auto"/>
        <w:right w:val="none" w:sz="0" w:space="0" w:color="auto"/>
      </w:divBdr>
    </w:div>
    <w:div w:id="1373380894">
      <w:bodyDiv w:val="1"/>
      <w:marLeft w:val="0"/>
      <w:marRight w:val="0"/>
      <w:marTop w:val="0"/>
      <w:marBottom w:val="0"/>
      <w:divBdr>
        <w:top w:val="none" w:sz="0" w:space="0" w:color="auto"/>
        <w:left w:val="none" w:sz="0" w:space="0" w:color="auto"/>
        <w:bottom w:val="none" w:sz="0" w:space="0" w:color="auto"/>
        <w:right w:val="none" w:sz="0" w:space="0" w:color="auto"/>
      </w:divBdr>
    </w:div>
    <w:div w:id="1399672845">
      <w:bodyDiv w:val="1"/>
      <w:marLeft w:val="0"/>
      <w:marRight w:val="0"/>
      <w:marTop w:val="0"/>
      <w:marBottom w:val="0"/>
      <w:divBdr>
        <w:top w:val="none" w:sz="0" w:space="0" w:color="auto"/>
        <w:left w:val="none" w:sz="0" w:space="0" w:color="auto"/>
        <w:bottom w:val="none" w:sz="0" w:space="0" w:color="auto"/>
        <w:right w:val="none" w:sz="0" w:space="0" w:color="auto"/>
      </w:divBdr>
    </w:div>
    <w:div w:id="1402143847">
      <w:bodyDiv w:val="1"/>
      <w:marLeft w:val="0"/>
      <w:marRight w:val="0"/>
      <w:marTop w:val="0"/>
      <w:marBottom w:val="0"/>
      <w:divBdr>
        <w:top w:val="none" w:sz="0" w:space="0" w:color="auto"/>
        <w:left w:val="none" w:sz="0" w:space="0" w:color="auto"/>
        <w:bottom w:val="none" w:sz="0" w:space="0" w:color="auto"/>
        <w:right w:val="none" w:sz="0" w:space="0" w:color="auto"/>
      </w:divBdr>
    </w:div>
    <w:div w:id="1411075325">
      <w:bodyDiv w:val="1"/>
      <w:marLeft w:val="0"/>
      <w:marRight w:val="0"/>
      <w:marTop w:val="0"/>
      <w:marBottom w:val="0"/>
      <w:divBdr>
        <w:top w:val="none" w:sz="0" w:space="0" w:color="auto"/>
        <w:left w:val="none" w:sz="0" w:space="0" w:color="auto"/>
        <w:bottom w:val="none" w:sz="0" w:space="0" w:color="auto"/>
        <w:right w:val="none" w:sz="0" w:space="0" w:color="auto"/>
      </w:divBdr>
    </w:div>
    <w:div w:id="1421179395">
      <w:bodyDiv w:val="1"/>
      <w:marLeft w:val="0"/>
      <w:marRight w:val="0"/>
      <w:marTop w:val="0"/>
      <w:marBottom w:val="0"/>
      <w:divBdr>
        <w:top w:val="none" w:sz="0" w:space="0" w:color="auto"/>
        <w:left w:val="none" w:sz="0" w:space="0" w:color="auto"/>
        <w:bottom w:val="none" w:sz="0" w:space="0" w:color="auto"/>
        <w:right w:val="none" w:sz="0" w:space="0" w:color="auto"/>
      </w:divBdr>
    </w:div>
    <w:div w:id="1424909206">
      <w:bodyDiv w:val="1"/>
      <w:marLeft w:val="0"/>
      <w:marRight w:val="0"/>
      <w:marTop w:val="0"/>
      <w:marBottom w:val="0"/>
      <w:divBdr>
        <w:top w:val="none" w:sz="0" w:space="0" w:color="auto"/>
        <w:left w:val="none" w:sz="0" w:space="0" w:color="auto"/>
        <w:bottom w:val="none" w:sz="0" w:space="0" w:color="auto"/>
        <w:right w:val="none" w:sz="0" w:space="0" w:color="auto"/>
      </w:divBdr>
    </w:div>
    <w:div w:id="1436707664">
      <w:bodyDiv w:val="1"/>
      <w:marLeft w:val="0"/>
      <w:marRight w:val="0"/>
      <w:marTop w:val="0"/>
      <w:marBottom w:val="0"/>
      <w:divBdr>
        <w:top w:val="none" w:sz="0" w:space="0" w:color="auto"/>
        <w:left w:val="none" w:sz="0" w:space="0" w:color="auto"/>
        <w:bottom w:val="none" w:sz="0" w:space="0" w:color="auto"/>
        <w:right w:val="none" w:sz="0" w:space="0" w:color="auto"/>
      </w:divBdr>
    </w:div>
    <w:div w:id="1441560953">
      <w:bodyDiv w:val="1"/>
      <w:marLeft w:val="0"/>
      <w:marRight w:val="0"/>
      <w:marTop w:val="0"/>
      <w:marBottom w:val="0"/>
      <w:divBdr>
        <w:top w:val="none" w:sz="0" w:space="0" w:color="auto"/>
        <w:left w:val="none" w:sz="0" w:space="0" w:color="auto"/>
        <w:bottom w:val="none" w:sz="0" w:space="0" w:color="auto"/>
        <w:right w:val="none" w:sz="0" w:space="0" w:color="auto"/>
      </w:divBdr>
    </w:div>
    <w:div w:id="1453863550">
      <w:bodyDiv w:val="1"/>
      <w:marLeft w:val="0"/>
      <w:marRight w:val="0"/>
      <w:marTop w:val="0"/>
      <w:marBottom w:val="0"/>
      <w:divBdr>
        <w:top w:val="none" w:sz="0" w:space="0" w:color="auto"/>
        <w:left w:val="none" w:sz="0" w:space="0" w:color="auto"/>
        <w:bottom w:val="none" w:sz="0" w:space="0" w:color="auto"/>
        <w:right w:val="none" w:sz="0" w:space="0" w:color="auto"/>
      </w:divBdr>
    </w:div>
    <w:div w:id="1460342913">
      <w:bodyDiv w:val="1"/>
      <w:marLeft w:val="0"/>
      <w:marRight w:val="0"/>
      <w:marTop w:val="0"/>
      <w:marBottom w:val="0"/>
      <w:divBdr>
        <w:top w:val="none" w:sz="0" w:space="0" w:color="auto"/>
        <w:left w:val="none" w:sz="0" w:space="0" w:color="auto"/>
        <w:bottom w:val="none" w:sz="0" w:space="0" w:color="auto"/>
        <w:right w:val="none" w:sz="0" w:space="0" w:color="auto"/>
      </w:divBdr>
    </w:div>
    <w:div w:id="1483740881">
      <w:bodyDiv w:val="1"/>
      <w:marLeft w:val="0"/>
      <w:marRight w:val="0"/>
      <w:marTop w:val="0"/>
      <w:marBottom w:val="0"/>
      <w:divBdr>
        <w:top w:val="none" w:sz="0" w:space="0" w:color="auto"/>
        <w:left w:val="none" w:sz="0" w:space="0" w:color="auto"/>
        <w:bottom w:val="none" w:sz="0" w:space="0" w:color="auto"/>
        <w:right w:val="none" w:sz="0" w:space="0" w:color="auto"/>
      </w:divBdr>
    </w:div>
    <w:div w:id="1513955578">
      <w:bodyDiv w:val="1"/>
      <w:marLeft w:val="0"/>
      <w:marRight w:val="0"/>
      <w:marTop w:val="0"/>
      <w:marBottom w:val="0"/>
      <w:divBdr>
        <w:top w:val="none" w:sz="0" w:space="0" w:color="auto"/>
        <w:left w:val="none" w:sz="0" w:space="0" w:color="auto"/>
        <w:bottom w:val="none" w:sz="0" w:space="0" w:color="auto"/>
        <w:right w:val="none" w:sz="0" w:space="0" w:color="auto"/>
      </w:divBdr>
    </w:div>
    <w:div w:id="1530332780">
      <w:bodyDiv w:val="1"/>
      <w:marLeft w:val="0"/>
      <w:marRight w:val="0"/>
      <w:marTop w:val="0"/>
      <w:marBottom w:val="0"/>
      <w:divBdr>
        <w:top w:val="none" w:sz="0" w:space="0" w:color="auto"/>
        <w:left w:val="none" w:sz="0" w:space="0" w:color="auto"/>
        <w:bottom w:val="none" w:sz="0" w:space="0" w:color="auto"/>
        <w:right w:val="none" w:sz="0" w:space="0" w:color="auto"/>
      </w:divBdr>
    </w:div>
    <w:div w:id="1534071791">
      <w:bodyDiv w:val="1"/>
      <w:marLeft w:val="0"/>
      <w:marRight w:val="0"/>
      <w:marTop w:val="0"/>
      <w:marBottom w:val="0"/>
      <w:divBdr>
        <w:top w:val="none" w:sz="0" w:space="0" w:color="auto"/>
        <w:left w:val="none" w:sz="0" w:space="0" w:color="auto"/>
        <w:bottom w:val="none" w:sz="0" w:space="0" w:color="auto"/>
        <w:right w:val="none" w:sz="0" w:space="0" w:color="auto"/>
      </w:divBdr>
    </w:div>
    <w:div w:id="1535385158">
      <w:bodyDiv w:val="1"/>
      <w:marLeft w:val="0"/>
      <w:marRight w:val="0"/>
      <w:marTop w:val="0"/>
      <w:marBottom w:val="0"/>
      <w:divBdr>
        <w:top w:val="none" w:sz="0" w:space="0" w:color="auto"/>
        <w:left w:val="none" w:sz="0" w:space="0" w:color="auto"/>
        <w:bottom w:val="none" w:sz="0" w:space="0" w:color="auto"/>
        <w:right w:val="none" w:sz="0" w:space="0" w:color="auto"/>
      </w:divBdr>
    </w:div>
    <w:div w:id="1536308343">
      <w:bodyDiv w:val="1"/>
      <w:marLeft w:val="0"/>
      <w:marRight w:val="0"/>
      <w:marTop w:val="0"/>
      <w:marBottom w:val="0"/>
      <w:divBdr>
        <w:top w:val="none" w:sz="0" w:space="0" w:color="auto"/>
        <w:left w:val="none" w:sz="0" w:space="0" w:color="auto"/>
        <w:bottom w:val="none" w:sz="0" w:space="0" w:color="auto"/>
        <w:right w:val="none" w:sz="0" w:space="0" w:color="auto"/>
      </w:divBdr>
    </w:div>
    <w:div w:id="1568108159">
      <w:bodyDiv w:val="1"/>
      <w:marLeft w:val="0"/>
      <w:marRight w:val="0"/>
      <w:marTop w:val="0"/>
      <w:marBottom w:val="0"/>
      <w:divBdr>
        <w:top w:val="none" w:sz="0" w:space="0" w:color="auto"/>
        <w:left w:val="none" w:sz="0" w:space="0" w:color="auto"/>
        <w:bottom w:val="none" w:sz="0" w:space="0" w:color="auto"/>
        <w:right w:val="none" w:sz="0" w:space="0" w:color="auto"/>
      </w:divBdr>
    </w:div>
    <w:div w:id="1585534784">
      <w:bodyDiv w:val="1"/>
      <w:marLeft w:val="0"/>
      <w:marRight w:val="0"/>
      <w:marTop w:val="0"/>
      <w:marBottom w:val="0"/>
      <w:divBdr>
        <w:top w:val="none" w:sz="0" w:space="0" w:color="auto"/>
        <w:left w:val="none" w:sz="0" w:space="0" w:color="auto"/>
        <w:bottom w:val="none" w:sz="0" w:space="0" w:color="auto"/>
        <w:right w:val="none" w:sz="0" w:space="0" w:color="auto"/>
      </w:divBdr>
    </w:div>
    <w:div w:id="1586260126">
      <w:bodyDiv w:val="1"/>
      <w:marLeft w:val="0"/>
      <w:marRight w:val="0"/>
      <w:marTop w:val="0"/>
      <w:marBottom w:val="0"/>
      <w:divBdr>
        <w:top w:val="none" w:sz="0" w:space="0" w:color="auto"/>
        <w:left w:val="none" w:sz="0" w:space="0" w:color="auto"/>
        <w:bottom w:val="none" w:sz="0" w:space="0" w:color="auto"/>
        <w:right w:val="none" w:sz="0" w:space="0" w:color="auto"/>
      </w:divBdr>
    </w:div>
    <w:div w:id="1591236043">
      <w:bodyDiv w:val="1"/>
      <w:marLeft w:val="0"/>
      <w:marRight w:val="0"/>
      <w:marTop w:val="0"/>
      <w:marBottom w:val="0"/>
      <w:divBdr>
        <w:top w:val="none" w:sz="0" w:space="0" w:color="auto"/>
        <w:left w:val="none" w:sz="0" w:space="0" w:color="auto"/>
        <w:bottom w:val="none" w:sz="0" w:space="0" w:color="auto"/>
        <w:right w:val="none" w:sz="0" w:space="0" w:color="auto"/>
      </w:divBdr>
    </w:div>
    <w:div w:id="1608003995">
      <w:bodyDiv w:val="1"/>
      <w:marLeft w:val="0"/>
      <w:marRight w:val="0"/>
      <w:marTop w:val="0"/>
      <w:marBottom w:val="0"/>
      <w:divBdr>
        <w:top w:val="none" w:sz="0" w:space="0" w:color="auto"/>
        <w:left w:val="none" w:sz="0" w:space="0" w:color="auto"/>
        <w:bottom w:val="none" w:sz="0" w:space="0" w:color="auto"/>
        <w:right w:val="none" w:sz="0" w:space="0" w:color="auto"/>
      </w:divBdr>
    </w:div>
    <w:div w:id="1610316242">
      <w:bodyDiv w:val="1"/>
      <w:marLeft w:val="0"/>
      <w:marRight w:val="0"/>
      <w:marTop w:val="0"/>
      <w:marBottom w:val="0"/>
      <w:divBdr>
        <w:top w:val="none" w:sz="0" w:space="0" w:color="auto"/>
        <w:left w:val="none" w:sz="0" w:space="0" w:color="auto"/>
        <w:bottom w:val="none" w:sz="0" w:space="0" w:color="auto"/>
        <w:right w:val="none" w:sz="0" w:space="0" w:color="auto"/>
      </w:divBdr>
    </w:div>
    <w:div w:id="1625690487">
      <w:bodyDiv w:val="1"/>
      <w:marLeft w:val="0"/>
      <w:marRight w:val="0"/>
      <w:marTop w:val="0"/>
      <w:marBottom w:val="0"/>
      <w:divBdr>
        <w:top w:val="none" w:sz="0" w:space="0" w:color="auto"/>
        <w:left w:val="none" w:sz="0" w:space="0" w:color="auto"/>
        <w:bottom w:val="none" w:sz="0" w:space="0" w:color="auto"/>
        <w:right w:val="none" w:sz="0" w:space="0" w:color="auto"/>
      </w:divBdr>
    </w:div>
    <w:div w:id="1635672542">
      <w:bodyDiv w:val="1"/>
      <w:marLeft w:val="0"/>
      <w:marRight w:val="0"/>
      <w:marTop w:val="0"/>
      <w:marBottom w:val="0"/>
      <w:divBdr>
        <w:top w:val="none" w:sz="0" w:space="0" w:color="auto"/>
        <w:left w:val="none" w:sz="0" w:space="0" w:color="auto"/>
        <w:bottom w:val="none" w:sz="0" w:space="0" w:color="auto"/>
        <w:right w:val="none" w:sz="0" w:space="0" w:color="auto"/>
      </w:divBdr>
    </w:div>
    <w:div w:id="1652515071">
      <w:bodyDiv w:val="1"/>
      <w:marLeft w:val="0"/>
      <w:marRight w:val="0"/>
      <w:marTop w:val="0"/>
      <w:marBottom w:val="0"/>
      <w:divBdr>
        <w:top w:val="none" w:sz="0" w:space="0" w:color="auto"/>
        <w:left w:val="none" w:sz="0" w:space="0" w:color="auto"/>
        <w:bottom w:val="none" w:sz="0" w:space="0" w:color="auto"/>
        <w:right w:val="none" w:sz="0" w:space="0" w:color="auto"/>
      </w:divBdr>
    </w:div>
    <w:div w:id="1672639719">
      <w:bodyDiv w:val="1"/>
      <w:marLeft w:val="0"/>
      <w:marRight w:val="0"/>
      <w:marTop w:val="0"/>
      <w:marBottom w:val="0"/>
      <w:divBdr>
        <w:top w:val="none" w:sz="0" w:space="0" w:color="auto"/>
        <w:left w:val="none" w:sz="0" w:space="0" w:color="auto"/>
        <w:bottom w:val="none" w:sz="0" w:space="0" w:color="auto"/>
        <w:right w:val="none" w:sz="0" w:space="0" w:color="auto"/>
      </w:divBdr>
    </w:div>
    <w:div w:id="1685783644">
      <w:bodyDiv w:val="1"/>
      <w:marLeft w:val="0"/>
      <w:marRight w:val="0"/>
      <w:marTop w:val="0"/>
      <w:marBottom w:val="0"/>
      <w:divBdr>
        <w:top w:val="none" w:sz="0" w:space="0" w:color="auto"/>
        <w:left w:val="none" w:sz="0" w:space="0" w:color="auto"/>
        <w:bottom w:val="none" w:sz="0" w:space="0" w:color="auto"/>
        <w:right w:val="none" w:sz="0" w:space="0" w:color="auto"/>
      </w:divBdr>
    </w:div>
    <w:div w:id="1718161714">
      <w:bodyDiv w:val="1"/>
      <w:marLeft w:val="0"/>
      <w:marRight w:val="0"/>
      <w:marTop w:val="0"/>
      <w:marBottom w:val="0"/>
      <w:divBdr>
        <w:top w:val="none" w:sz="0" w:space="0" w:color="auto"/>
        <w:left w:val="none" w:sz="0" w:space="0" w:color="auto"/>
        <w:bottom w:val="none" w:sz="0" w:space="0" w:color="auto"/>
        <w:right w:val="none" w:sz="0" w:space="0" w:color="auto"/>
      </w:divBdr>
      <w:divsChild>
        <w:div w:id="2128498270">
          <w:marLeft w:val="547"/>
          <w:marRight w:val="0"/>
          <w:marTop w:val="200"/>
          <w:marBottom w:val="0"/>
          <w:divBdr>
            <w:top w:val="none" w:sz="0" w:space="0" w:color="auto"/>
            <w:left w:val="none" w:sz="0" w:space="0" w:color="auto"/>
            <w:bottom w:val="none" w:sz="0" w:space="0" w:color="auto"/>
            <w:right w:val="none" w:sz="0" w:space="0" w:color="auto"/>
          </w:divBdr>
        </w:div>
        <w:div w:id="1115370626">
          <w:marLeft w:val="547"/>
          <w:marRight w:val="0"/>
          <w:marTop w:val="200"/>
          <w:marBottom w:val="0"/>
          <w:divBdr>
            <w:top w:val="none" w:sz="0" w:space="0" w:color="auto"/>
            <w:left w:val="none" w:sz="0" w:space="0" w:color="auto"/>
            <w:bottom w:val="none" w:sz="0" w:space="0" w:color="auto"/>
            <w:right w:val="none" w:sz="0" w:space="0" w:color="auto"/>
          </w:divBdr>
        </w:div>
        <w:div w:id="412707738">
          <w:marLeft w:val="547"/>
          <w:marRight w:val="0"/>
          <w:marTop w:val="200"/>
          <w:marBottom w:val="0"/>
          <w:divBdr>
            <w:top w:val="none" w:sz="0" w:space="0" w:color="auto"/>
            <w:left w:val="none" w:sz="0" w:space="0" w:color="auto"/>
            <w:bottom w:val="none" w:sz="0" w:space="0" w:color="auto"/>
            <w:right w:val="none" w:sz="0" w:space="0" w:color="auto"/>
          </w:divBdr>
        </w:div>
        <w:div w:id="1107702886">
          <w:marLeft w:val="547"/>
          <w:marRight w:val="0"/>
          <w:marTop w:val="200"/>
          <w:marBottom w:val="0"/>
          <w:divBdr>
            <w:top w:val="none" w:sz="0" w:space="0" w:color="auto"/>
            <w:left w:val="none" w:sz="0" w:space="0" w:color="auto"/>
            <w:bottom w:val="none" w:sz="0" w:space="0" w:color="auto"/>
            <w:right w:val="none" w:sz="0" w:space="0" w:color="auto"/>
          </w:divBdr>
        </w:div>
        <w:div w:id="2005350507">
          <w:marLeft w:val="547"/>
          <w:marRight w:val="0"/>
          <w:marTop w:val="200"/>
          <w:marBottom w:val="0"/>
          <w:divBdr>
            <w:top w:val="none" w:sz="0" w:space="0" w:color="auto"/>
            <w:left w:val="none" w:sz="0" w:space="0" w:color="auto"/>
            <w:bottom w:val="none" w:sz="0" w:space="0" w:color="auto"/>
            <w:right w:val="none" w:sz="0" w:space="0" w:color="auto"/>
          </w:divBdr>
        </w:div>
        <w:div w:id="1819225086">
          <w:marLeft w:val="547"/>
          <w:marRight w:val="0"/>
          <w:marTop w:val="200"/>
          <w:marBottom w:val="0"/>
          <w:divBdr>
            <w:top w:val="none" w:sz="0" w:space="0" w:color="auto"/>
            <w:left w:val="none" w:sz="0" w:space="0" w:color="auto"/>
            <w:bottom w:val="none" w:sz="0" w:space="0" w:color="auto"/>
            <w:right w:val="none" w:sz="0" w:space="0" w:color="auto"/>
          </w:divBdr>
        </w:div>
        <w:div w:id="314721304">
          <w:marLeft w:val="547"/>
          <w:marRight w:val="0"/>
          <w:marTop w:val="200"/>
          <w:marBottom w:val="0"/>
          <w:divBdr>
            <w:top w:val="none" w:sz="0" w:space="0" w:color="auto"/>
            <w:left w:val="none" w:sz="0" w:space="0" w:color="auto"/>
            <w:bottom w:val="none" w:sz="0" w:space="0" w:color="auto"/>
            <w:right w:val="none" w:sz="0" w:space="0" w:color="auto"/>
          </w:divBdr>
        </w:div>
      </w:divsChild>
    </w:div>
    <w:div w:id="1737510226">
      <w:bodyDiv w:val="1"/>
      <w:marLeft w:val="0"/>
      <w:marRight w:val="0"/>
      <w:marTop w:val="0"/>
      <w:marBottom w:val="0"/>
      <w:divBdr>
        <w:top w:val="none" w:sz="0" w:space="0" w:color="auto"/>
        <w:left w:val="none" w:sz="0" w:space="0" w:color="auto"/>
        <w:bottom w:val="none" w:sz="0" w:space="0" w:color="auto"/>
        <w:right w:val="none" w:sz="0" w:space="0" w:color="auto"/>
      </w:divBdr>
    </w:div>
    <w:div w:id="1750931508">
      <w:bodyDiv w:val="1"/>
      <w:marLeft w:val="0"/>
      <w:marRight w:val="0"/>
      <w:marTop w:val="0"/>
      <w:marBottom w:val="0"/>
      <w:divBdr>
        <w:top w:val="none" w:sz="0" w:space="0" w:color="auto"/>
        <w:left w:val="none" w:sz="0" w:space="0" w:color="auto"/>
        <w:bottom w:val="none" w:sz="0" w:space="0" w:color="auto"/>
        <w:right w:val="none" w:sz="0" w:space="0" w:color="auto"/>
      </w:divBdr>
      <w:divsChild>
        <w:div w:id="409543285">
          <w:marLeft w:val="547"/>
          <w:marRight w:val="0"/>
          <w:marTop w:val="0"/>
          <w:marBottom w:val="0"/>
          <w:divBdr>
            <w:top w:val="none" w:sz="0" w:space="0" w:color="auto"/>
            <w:left w:val="none" w:sz="0" w:space="0" w:color="auto"/>
            <w:bottom w:val="none" w:sz="0" w:space="0" w:color="auto"/>
            <w:right w:val="none" w:sz="0" w:space="0" w:color="auto"/>
          </w:divBdr>
        </w:div>
      </w:divsChild>
    </w:div>
    <w:div w:id="1759474541">
      <w:bodyDiv w:val="1"/>
      <w:marLeft w:val="0"/>
      <w:marRight w:val="0"/>
      <w:marTop w:val="0"/>
      <w:marBottom w:val="0"/>
      <w:divBdr>
        <w:top w:val="none" w:sz="0" w:space="0" w:color="auto"/>
        <w:left w:val="none" w:sz="0" w:space="0" w:color="auto"/>
        <w:bottom w:val="none" w:sz="0" w:space="0" w:color="auto"/>
        <w:right w:val="none" w:sz="0" w:space="0" w:color="auto"/>
      </w:divBdr>
    </w:div>
    <w:div w:id="1781409061">
      <w:bodyDiv w:val="1"/>
      <w:marLeft w:val="0"/>
      <w:marRight w:val="0"/>
      <w:marTop w:val="0"/>
      <w:marBottom w:val="0"/>
      <w:divBdr>
        <w:top w:val="none" w:sz="0" w:space="0" w:color="auto"/>
        <w:left w:val="none" w:sz="0" w:space="0" w:color="auto"/>
        <w:bottom w:val="none" w:sz="0" w:space="0" w:color="auto"/>
        <w:right w:val="none" w:sz="0" w:space="0" w:color="auto"/>
      </w:divBdr>
    </w:div>
    <w:div w:id="1786845925">
      <w:bodyDiv w:val="1"/>
      <w:marLeft w:val="0"/>
      <w:marRight w:val="0"/>
      <w:marTop w:val="0"/>
      <w:marBottom w:val="0"/>
      <w:divBdr>
        <w:top w:val="none" w:sz="0" w:space="0" w:color="auto"/>
        <w:left w:val="none" w:sz="0" w:space="0" w:color="auto"/>
        <w:bottom w:val="none" w:sz="0" w:space="0" w:color="auto"/>
        <w:right w:val="none" w:sz="0" w:space="0" w:color="auto"/>
      </w:divBdr>
    </w:div>
    <w:div w:id="1808274903">
      <w:bodyDiv w:val="1"/>
      <w:marLeft w:val="0"/>
      <w:marRight w:val="0"/>
      <w:marTop w:val="0"/>
      <w:marBottom w:val="0"/>
      <w:divBdr>
        <w:top w:val="none" w:sz="0" w:space="0" w:color="auto"/>
        <w:left w:val="none" w:sz="0" w:space="0" w:color="auto"/>
        <w:bottom w:val="none" w:sz="0" w:space="0" w:color="auto"/>
        <w:right w:val="none" w:sz="0" w:space="0" w:color="auto"/>
      </w:divBdr>
    </w:div>
    <w:div w:id="1818692839">
      <w:bodyDiv w:val="1"/>
      <w:marLeft w:val="0"/>
      <w:marRight w:val="0"/>
      <w:marTop w:val="0"/>
      <w:marBottom w:val="0"/>
      <w:divBdr>
        <w:top w:val="none" w:sz="0" w:space="0" w:color="auto"/>
        <w:left w:val="none" w:sz="0" w:space="0" w:color="auto"/>
        <w:bottom w:val="none" w:sz="0" w:space="0" w:color="auto"/>
        <w:right w:val="none" w:sz="0" w:space="0" w:color="auto"/>
      </w:divBdr>
    </w:div>
    <w:div w:id="1879589351">
      <w:bodyDiv w:val="1"/>
      <w:marLeft w:val="0"/>
      <w:marRight w:val="0"/>
      <w:marTop w:val="0"/>
      <w:marBottom w:val="0"/>
      <w:divBdr>
        <w:top w:val="none" w:sz="0" w:space="0" w:color="auto"/>
        <w:left w:val="none" w:sz="0" w:space="0" w:color="auto"/>
        <w:bottom w:val="none" w:sz="0" w:space="0" w:color="auto"/>
        <w:right w:val="none" w:sz="0" w:space="0" w:color="auto"/>
      </w:divBdr>
    </w:div>
    <w:div w:id="1884058316">
      <w:bodyDiv w:val="1"/>
      <w:marLeft w:val="0"/>
      <w:marRight w:val="0"/>
      <w:marTop w:val="0"/>
      <w:marBottom w:val="0"/>
      <w:divBdr>
        <w:top w:val="none" w:sz="0" w:space="0" w:color="auto"/>
        <w:left w:val="none" w:sz="0" w:space="0" w:color="auto"/>
        <w:bottom w:val="none" w:sz="0" w:space="0" w:color="auto"/>
        <w:right w:val="none" w:sz="0" w:space="0" w:color="auto"/>
      </w:divBdr>
    </w:div>
    <w:div w:id="1889797145">
      <w:bodyDiv w:val="1"/>
      <w:marLeft w:val="0"/>
      <w:marRight w:val="0"/>
      <w:marTop w:val="0"/>
      <w:marBottom w:val="0"/>
      <w:divBdr>
        <w:top w:val="none" w:sz="0" w:space="0" w:color="auto"/>
        <w:left w:val="none" w:sz="0" w:space="0" w:color="auto"/>
        <w:bottom w:val="none" w:sz="0" w:space="0" w:color="auto"/>
        <w:right w:val="none" w:sz="0" w:space="0" w:color="auto"/>
      </w:divBdr>
    </w:div>
    <w:div w:id="1900895321">
      <w:bodyDiv w:val="1"/>
      <w:marLeft w:val="0"/>
      <w:marRight w:val="0"/>
      <w:marTop w:val="0"/>
      <w:marBottom w:val="0"/>
      <w:divBdr>
        <w:top w:val="none" w:sz="0" w:space="0" w:color="auto"/>
        <w:left w:val="none" w:sz="0" w:space="0" w:color="auto"/>
        <w:bottom w:val="none" w:sz="0" w:space="0" w:color="auto"/>
        <w:right w:val="none" w:sz="0" w:space="0" w:color="auto"/>
      </w:divBdr>
    </w:div>
    <w:div w:id="1920940718">
      <w:bodyDiv w:val="1"/>
      <w:marLeft w:val="0"/>
      <w:marRight w:val="0"/>
      <w:marTop w:val="0"/>
      <w:marBottom w:val="0"/>
      <w:divBdr>
        <w:top w:val="none" w:sz="0" w:space="0" w:color="auto"/>
        <w:left w:val="none" w:sz="0" w:space="0" w:color="auto"/>
        <w:bottom w:val="none" w:sz="0" w:space="0" w:color="auto"/>
        <w:right w:val="none" w:sz="0" w:space="0" w:color="auto"/>
      </w:divBdr>
    </w:div>
    <w:div w:id="1938127327">
      <w:bodyDiv w:val="1"/>
      <w:marLeft w:val="0"/>
      <w:marRight w:val="0"/>
      <w:marTop w:val="0"/>
      <w:marBottom w:val="0"/>
      <w:divBdr>
        <w:top w:val="none" w:sz="0" w:space="0" w:color="auto"/>
        <w:left w:val="none" w:sz="0" w:space="0" w:color="auto"/>
        <w:bottom w:val="none" w:sz="0" w:space="0" w:color="auto"/>
        <w:right w:val="none" w:sz="0" w:space="0" w:color="auto"/>
      </w:divBdr>
    </w:div>
    <w:div w:id="1944532815">
      <w:bodyDiv w:val="1"/>
      <w:marLeft w:val="0"/>
      <w:marRight w:val="0"/>
      <w:marTop w:val="0"/>
      <w:marBottom w:val="0"/>
      <w:divBdr>
        <w:top w:val="none" w:sz="0" w:space="0" w:color="auto"/>
        <w:left w:val="none" w:sz="0" w:space="0" w:color="auto"/>
        <w:bottom w:val="none" w:sz="0" w:space="0" w:color="auto"/>
        <w:right w:val="none" w:sz="0" w:space="0" w:color="auto"/>
      </w:divBdr>
    </w:div>
    <w:div w:id="1964920720">
      <w:bodyDiv w:val="1"/>
      <w:marLeft w:val="0"/>
      <w:marRight w:val="0"/>
      <w:marTop w:val="0"/>
      <w:marBottom w:val="0"/>
      <w:divBdr>
        <w:top w:val="none" w:sz="0" w:space="0" w:color="auto"/>
        <w:left w:val="none" w:sz="0" w:space="0" w:color="auto"/>
        <w:bottom w:val="none" w:sz="0" w:space="0" w:color="auto"/>
        <w:right w:val="none" w:sz="0" w:space="0" w:color="auto"/>
      </w:divBdr>
    </w:div>
    <w:div w:id="1981573451">
      <w:bodyDiv w:val="1"/>
      <w:marLeft w:val="0"/>
      <w:marRight w:val="0"/>
      <w:marTop w:val="0"/>
      <w:marBottom w:val="0"/>
      <w:divBdr>
        <w:top w:val="none" w:sz="0" w:space="0" w:color="auto"/>
        <w:left w:val="none" w:sz="0" w:space="0" w:color="auto"/>
        <w:bottom w:val="none" w:sz="0" w:space="0" w:color="auto"/>
        <w:right w:val="none" w:sz="0" w:space="0" w:color="auto"/>
      </w:divBdr>
    </w:div>
    <w:div w:id="1988048669">
      <w:bodyDiv w:val="1"/>
      <w:marLeft w:val="0"/>
      <w:marRight w:val="0"/>
      <w:marTop w:val="0"/>
      <w:marBottom w:val="0"/>
      <w:divBdr>
        <w:top w:val="none" w:sz="0" w:space="0" w:color="auto"/>
        <w:left w:val="none" w:sz="0" w:space="0" w:color="auto"/>
        <w:bottom w:val="none" w:sz="0" w:space="0" w:color="auto"/>
        <w:right w:val="none" w:sz="0" w:space="0" w:color="auto"/>
      </w:divBdr>
    </w:div>
    <w:div w:id="2002464024">
      <w:bodyDiv w:val="1"/>
      <w:marLeft w:val="0"/>
      <w:marRight w:val="0"/>
      <w:marTop w:val="0"/>
      <w:marBottom w:val="0"/>
      <w:divBdr>
        <w:top w:val="none" w:sz="0" w:space="0" w:color="auto"/>
        <w:left w:val="none" w:sz="0" w:space="0" w:color="auto"/>
        <w:bottom w:val="none" w:sz="0" w:space="0" w:color="auto"/>
        <w:right w:val="none" w:sz="0" w:space="0" w:color="auto"/>
      </w:divBdr>
    </w:div>
    <w:div w:id="2006467231">
      <w:bodyDiv w:val="1"/>
      <w:marLeft w:val="0"/>
      <w:marRight w:val="0"/>
      <w:marTop w:val="0"/>
      <w:marBottom w:val="0"/>
      <w:divBdr>
        <w:top w:val="none" w:sz="0" w:space="0" w:color="auto"/>
        <w:left w:val="none" w:sz="0" w:space="0" w:color="auto"/>
        <w:bottom w:val="none" w:sz="0" w:space="0" w:color="auto"/>
        <w:right w:val="none" w:sz="0" w:space="0" w:color="auto"/>
      </w:divBdr>
    </w:div>
    <w:div w:id="2016418330">
      <w:bodyDiv w:val="1"/>
      <w:marLeft w:val="0"/>
      <w:marRight w:val="0"/>
      <w:marTop w:val="0"/>
      <w:marBottom w:val="0"/>
      <w:divBdr>
        <w:top w:val="none" w:sz="0" w:space="0" w:color="auto"/>
        <w:left w:val="none" w:sz="0" w:space="0" w:color="auto"/>
        <w:bottom w:val="none" w:sz="0" w:space="0" w:color="auto"/>
        <w:right w:val="none" w:sz="0" w:space="0" w:color="auto"/>
      </w:divBdr>
    </w:div>
    <w:div w:id="2032954125">
      <w:bodyDiv w:val="1"/>
      <w:marLeft w:val="0"/>
      <w:marRight w:val="0"/>
      <w:marTop w:val="0"/>
      <w:marBottom w:val="0"/>
      <w:divBdr>
        <w:top w:val="none" w:sz="0" w:space="0" w:color="auto"/>
        <w:left w:val="none" w:sz="0" w:space="0" w:color="auto"/>
        <w:bottom w:val="none" w:sz="0" w:space="0" w:color="auto"/>
        <w:right w:val="none" w:sz="0" w:space="0" w:color="auto"/>
      </w:divBdr>
    </w:div>
    <w:div w:id="2046520279">
      <w:bodyDiv w:val="1"/>
      <w:marLeft w:val="0"/>
      <w:marRight w:val="0"/>
      <w:marTop w:val="0"/>
      <w:marBottom w:val="0"/>
      <w:divBdr>
        <w:top w:val="none" w:sz="0" w:space="0" w:color="auto"/>
        <w:left w:val="none" w:sz="0" w:space="0" w:color="auto"/>
        <w:bottom w:val="none" w:sz="0" w:space="0" w:color="auto"/>
        <w:right w:val="none" w:sz="0" w:space="0" w:color="auto"/>
      </w:divBdr>
    </w:div>
    <w:div w:id="2051300818">
      <w:bodyDiv w:val="1"/>
      <w:marLeft w:val="0"/>
      <w:marRight w:val="0"/>
      <w:marTop w:val="0"/>
      <w:marBottom w:val="0"/>
      <w:divBdr>
        <w:top w:val="none" w:sz="0" w:space="0" w:color="auto"/>
        <w:left w:val="none" w:sz="0" w:space="0" w:color="auto"/>
        <w:bottom w:val="none" w:sz="0" w:space="0" w:color="auto"/>
        <w:right w:val="none" w:sz="0" w:space="0" w:color="auto"/>
      </w:divBdr>
    </w:div>
    <w:div w:id="2071464247">
      <w:bodyDiv w:val="1"/>
      <w:marLeft w:val="0"/>
      <w:marRight w:val="0"/>
      <w:marTop w:val="0"/>
      <w:marBottom w:val="0"/>
      <w:divBdr>
        <w:top w:val="none" w:sz="0" w:space="0" w:color="auto"/>
        <w:left w:val="none" w:sz="0" w:space="0" w:color="auto"/>
        <w:bottom w:val="none" w:sz="0" w:space="0" w:color="auto"/>
        <w:right w:val="none" w:sz="0" w:space="0" w:color="auto"/>
      </w:divBdr>
    </w:div>
    <w:div w:id="2076471330">
      <w:bodyDiv w:val="1"/>
      <w:marLeft w:val="0"/>
      <w:marRight w:val="0"/>
      <w:marTop w:val="0"/>
      <w:marBottom w:val="0"/>
      <w:divBdr>
        <w:top w:val="none" w:sz="0" w:space="0" w:color="auto"/>
        <w:left w:val="none" w:sz="0" w:space="0" w:color="auto"/>
        <w:bottom w:val="none" w:sz="0" w:space="0" w:color="auto"/>
        <w:right w:val="none" w:sz="0" w:space="0" w:color="auto"/>
      </w:divBdr>
    </w:div>
    <w:div w:id="2077163629">
      <w:bodyDiv w:val="1"/>
      <w:marLeft w:val="0"/>
      <w:marRight w:val="0"/>
      <w:marTop w:val="0"/>
      <w:marBottom w:val="0"/>
      <w:divBdr>
        <w:top w:val="none" w:sz="0" w:space="0" w:color="auto"/>
        <w:left w:val="none" w:sz="0" w:space="0" w:color="auto"/>
        <w:bottom w:val="none" w:sz="0" w:space="0" w:color="auto"/>
        <w:right w:val="none" w:sz="0" w:space="0" w:color="auto"/>
      </w:divBdr>
    </w:div>
    <w:div w:id="2083524829">
      <w:bodyDiv w:val="1"/>
      <w:marLeft w:val="0"/>
      <w:marRight w:val="0"/>
      <w:marTop w:val="0"/>
      <w:marBottom w:val="0"/>
      <w:divBdr>
        <w:top w:val="none" w:sz="0" w:space="0" w:color="auto"/>
        <w:left w:val="none" w:sz="0" w:space="0" w:color="auto"/>
        <w:bottom w:val="none" w:sz="0" w:space="0" w:color="auto"/>
        <w:right w:val="none" w:sz="0" w:space="0" w:color="auto"/>
      </w:divBdr>
    </w:div>
    <w:div w:id="2087460467">
      <w:bodyDiv w:val="1"/>
      <w:marLeft w:val="0"/>
      <w:marRight w:val="0"/>
      <w:marTop w:val="0"/>
      <w:marBottom w:val="0"/>
      <w:divBdr>
        <w:top w:val="none" w:sz="0" w:space="0" w:color="auto"/>
        <w:left w:val="none" w:sz="0" w:space="0" w:color="auto"/>
        <w:bottom w:val="none" w:sz="0" w:space="0" w:color="auto"/>
        <w:right w:val="none" w:sz="0" w:space="0" w:color="auto"/>
      </w:divBdr>
    </w:div>
    <w:div w:id="2089568533">
      <w:bodyDiv w:val="1"/>
      <w:marLeft w:val="0"/>
      <w:marRight w:val="0"/>
      <w:marTop w:val="0"/>
      <w:marBottom w:val="0"/>
      <w:divBdr>
        <w:top w:val="none" w:sz="0" w:space="0" w:color="auto"/>
        <w:left w:val="none" w:sz="0" w:space="0" w:color="auto"/>
        <w:bottom w:val="none" w:sz="0" w:space="0" w:color="auto"/>
        <w:right w:val="none" w:sz="0" w:space="0" w:color="auto"/>
      </w:divBdr>
    </w:div>
    <w:div w:id="2106001260">
      <w:bodyDiv w:val="1"/>
      <w:marLeft w:val="0"/>
      <w:marRight w:val="0"/>
      <w:marTop w:val="0"/>
      <w:marBottom w:val="0"/>
      <w:divBdr>
        <w:top w:val="none" w:sz="0" w:space="0" w:color="auto"/>
        <w:left w:val="none" w:sz="0" w:space="0" w:color="auto"/>
        <w:bottom w:val="none" w:sz="0" w:space="0" w:color="auto"/>
        <w:right w:val="none" w:sz="0" w:space="0" w:color="auto"/>
      </w:divBdr>
    </w:div>
    <w:div w:id="2121292041">
      <w:bodyDiv w:val="1"/>
      <w:marLeft w:val="0"/>
      <w:marRight w:val="0"/>
      <w:marTop w:val="0"/>
      <w:marBottom w:val="0"/>
      <w:divBdr>
        <w:top w:val="none" w:sz="0" w:space="0" w:color="auto"/>
        <w:left w:val="none" w:sz="0" w:space="0" w:color="auto"/>
        <w:bottom w:val="none" w:sz="0" w:space="0" w:color="auto"/>
        <w:right w:val="none" w:sz="0" w:space="0" w:color="auto"/>
      </w:divBdr>
    </w:div>
    <w:div w:id="2123260324">
      <w:bodyDiv w:val="1"/>
      <w:marLeft w:val="0"/>
      <w:marRight w:val="0"/>
      <w:marTop w:val="0"/>
      <w:marBottom w:val="0"/>
      <w:divBdr>
        <w:top w:val="none" w:sz="0" w:space="0" w:color="auto"/>
        <w:left w:val="none" w:sz="0" w:space="0" w:color="auto"/>
        <w:bottom w:val="none" w:sz="0" w:space="0" w:color="auto"/>
        <w:right w:val="none" w:sz="0" w:space="0" w:color="auto"/>
      </w:divBdr>
    </w:div>
    <w:div w:id="2132819564">
      <w:bodyDiv w:val="1"/>
      <w:marLeft w:val="0"/>
      <w:marRight w:val="0"/>
      <w:marTop w:val="0"/>
      <w:marBottom w:val="0"/>
      <w:divBdr>
        <w:top w:val="none" w:sz="0" w:space="0" w:color="auto"/>
        <w:left w:val="none" w:sz="0" w:space="0" w:color="auto"/>
        <w:bottom w:val="none" w:sz="0" w:space="0" w:color="auto"/>
        <w:right w:val="none" w:sz="0" w:space="0" w:color="auto"/>
      </w:divBdr>
    </w:div>
    <w:div w:id="2135901973">
      <w:bodyDiv w:val="1"/>
      <w:marLeft w:val="0"/>
      <w:marRight w:val="0"/>
      <w:marTop w:val="0"/>
      <w:marBottom w:val="0"/>
      <w:divBdr>
        <w:top w:val="none" w:sz="0" w:space="0" w:color="auto"/>
        <w:left w:val="none" w:sz="0" w:space="0" w:color="auto"/>
        <w:bottom w:val="none" w:sz="0" w:space="0" w:color="auto"/>
        <w:right w:val="none" w:sz="0" w:space="0" w:color="auto"/>
      </w:divBdr>
    </w:div>
    <w:div w:id="21465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bamonitor.cz/kategorie/cba-hypomonito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bamonitor.cz/kategorie/ceny-nemovitosti" TargetMode="External"/><Relationship Id="rId17" Type="http://schemas.openxmlformats.org/officeDocument/2006/relationships/hyperlink" Target="http://www.cbaonline.cz"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Calibri Light"/>
        <a:ea typeface=""/>
        <a:cs typeface=""/>
      </a:majorFont>
      <a:minorFont>
        <a:latin typeface="Calibri Ligh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0CBE5B95D55468F8CF7D6D1C8CB6B" ma:contentTypeVersion="10" ma:contentTypeDescription="Create a new document." ma:contentTypeScope="" ma:versionID="03de8c559e19055c2732f6aae148e160">
  <xsd:schema xmlns:xsd="http://www.w3.org/2001/XMLSchema" xmlns:xs="http://www.w3.org/2001/XMLSchema" xmlns:p="http://schemas.microsoft.com/office/2006/metadata/properties" xmlns:ns3="b09ec118-0c61-46db-bb00-952e09940a1f" targetNamespace="http://schemas.microsoft.com/office/2006/metadata/properties" ma:root="true" ma:fieldsID="a58f24d30c88e6ff28d70a1926b856b7" ns3:_="">
    <xsd:import namespace="b09ec118-0c61-46db-bb00-952e09940a1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ec118-0c61-46db-bb00-952e09940a1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09ec118-0c61-46db-bb00-952e09940a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64796-18D1-44D3-AEB3-40E112819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ec118-0c61-46db-bb00-952e09940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9F6F5-D843-4129-900A-FD170C2ABB09}">
  <ds:schemaRefs>
    <ds:schemaRef ds:uri="http://schemas.openxmlformats.org/officeDocument/2006/bibliography"/>
  </ds:schemaRefs>
</ds:datastoreItem>
</file>

<file path=customXml/itemProps3.xml><?xml version="1.0" encoding="utf-8"?>
<ds:datastoreItem xmlns:ds="http://schemas.openxmlformats.org/officeDocument/2006/customXml" ds:itemID="{6DB935B7-8C88-4CAE-A0AA-13A352B0843E}">
  <ds:schemaRefs>
    <ds:schemaRef ds:uri="http://schemas.microsoft.com/office/2006/metadata/properties"/>
    <ds:schemaRef ds:uri="http://schemas.microsoft.com/office/infopath/2007/PartnerControls"/>
    <ds:schemaRef ds:uri="b09ec118-0c61-46db-bb00-952e09940a1f"/>
  </ds:schemaRefs>
</ds:datastoreItem>
</file>

<file path=customXml/itemProps4.xml><?xml version="1.0" encoding="utf-8"?>
<ds:datastoreItem xmlns:ds="http://schemas.openxmlformats.org/officeDocument/2006/customXml" ds:itemID="{90F695EA-D77D-4F66-A87E-5245D7A92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1855</Words>
  <Characters>10945</Characters>
  <Application>Microsoft Office Word</Application>
  <DocSecurity>0</DocSecurity>
  <Lines>91</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vlachova</dc:creator>
  <cp:lastModifiedBy>Duffek, Adam (ČBA)</cp:lastModifiedBy>
  <cp:revision>4</cp:revision>
  <cp:lastPrinted>2024-08-12T11:42:00Z</cp:lastPrinted>
  <dcterms:created xsi:type="dcterms:W3CDTF">2025-04-11T13:42:00Z</dcterms:created>
  <dcterms:modified xsi:type="dcterms:W3CDTF">2025-04-15T09:02:00Z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0x0101004DC0CBE5B95D55468F8CF7D6D1C8CB6B</vt:lpwstr>
  </property>
</Properties>
</file>